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9FD8" w14:textId="77777777" w:rsidR="001110F8" w:rsidRPr="00995483" w:rsidRDefault="003313BC" w:rsidP="00995483">
      <w:pPr>
        <w:jc w:val="center"/>
        <w:rPr>
          <w:b/>
          <w:sz w:val="28"/>
          <w:szCs w:val="28"/>
        </w:rPr>
      </w:pPr>
      <w:r>
        <w:rPr>
          <w:b/>
          <w:sz w:val="28"/>
          <w:szCs w:val="28"/>
        </w:rPr>
        <w:t xml:space="preserve">Legal Services Quick Guide: </w:t>
      </w:r>
      <w:r w:rsidR="001110F8" w:rsidRPr="00995483">
        <w:rPr>
          <w:b/>
          <w:sz w:val="28"/>
          <w:szCs w:val="28"/>
        </w:rPr>
        <w:t>Legal and Regulatory Issues for Researchers</w:t>
      </w:r>
    </w:p>
    <w:p w14:paraId="2EF59FD9" w14:textId="77777777" w:rsidR="00D00268" w:rsidRDefault="00D00268">
      <w:pPr>
        <w:rPr>
          <w:b/>
        </w:rPr>
      </w:pPr>
    </w:p>
    <w:p w14:paraId="2EF59FDA" w14:textId="77777777" w:rsidR="001110F8" w:rsidRPr="006802DA" w:rsidRDefault="001110F8">
      <w:pPr>
        <w:rPr>
          <w:b/>
        </w:rPr>
      </w:pPr>
      <w:r w:rsidRPr="00C90EEF">
        <w:rPr>
          <w:b/>
        </w:rPr>
        <w:t>Introduction</w:t>
      </w:r>
    </w:p>
    <w:p w14:paraId="2EF59FDB" w14:textId="1409680F" w:rsidR="001110F8" w:rsidRDefault="00ED72C6">
      <w:r>
        <w:t>In accordance with</w:t>
      </w:r>
      <w:r w:rsidR="002806C5">
        <w:t xml:space="preserve"> </w:t>
      </w:r>
      <w:hyperlink r:id="rId11" w:anchor=":~:text=The%20concordat%20to%20support%20research%20integrity%20asks%20universities%2C%20research%20institutes,standards%20of%20rigour%20and%20integrity." w:history="1">
        <w:r w:rsidR="00AC0DA5" w:rsidRPr="006D4080">
          <w:rPr>
            <w:rStyle w:val="Hyperlink"/>
            <w:i/>
          </w:rPr>
          <w:t>The Concordat to Support Research Integrity</w:t>
        </w:r>
      </w:hyperlink>
      <w:r w:rsidR="00AC0DA5">
        <w:t xml:space="preserve"> (Uni</w:t>
      </w:r>
      <w:r w:rsidR="002806C5">
        <w:t>versities UK, 201</w:t>
      </w:r>
      <w:r w:rsidR="0087024B">
        <w:t>9</w:t>
      </w:r>
      <w:r w:rsidR="002806C5">
        <w:t xml:space="preserve">), researchers must </w:t>
      </w:r>
      <w:r w:rsidR="00AC0DA5">
        <w:t xml:space="preserve">comply with </w:t>
      </w:r>
      <w:r w:rsidR="002806C5">
        <w:t>‘</w:t>
      </w:r>
      <w:r w:rsidR="00AC0DA5">
        <w:t>ethical, legal and professional frameworks, obligations and standards as required by statutory and regulatory author</w:t>
      </w:r>
      <w:r w:rsidR="002806C5">
        <w:t>ities’ and have a responsibility to keep their knowledge of such obligations up-to-date.</w:t>
      </w:r>
    </w:p>
    <w:p w14:paraId="2EF59FDC" w14:textId="77777777" w:rsidR="00BA433E" w:rsidRDefault="00CC1257">
      <w:r>
        <w:t>T</w:t>
      </w:r>
      <w:r w:rsidR="00E76A5C">
        <w:t>his Guid</w:t>
      </w:r>
      <w:r w:rsidR="007966A9">
        <w:t xml:space="preserve">e aims to highlight the key legal and regulatory issues that </w:t>
      </w:r>
      <w:r w:rsidR="0019086A">
        <w:t xml:space="preserve">may </w:t>
      </w:r>
      <w:r w:rsidR="007966A9">
        <w:t>affect researc</w:t>
      </w:r>
      <w:r w:rsidR="00691E52">
        <w:t>h, and to signpost further resources</w:t>
      </w:r>
      <w:r w:rsidR="007966A9">
        <w:t>.</w:t>
      </w:r>
    </w:p>
    <w:p w14:paraId="2EF59FDD" w14:textId="77777777" w:rsidR="00E0735F" w:rsidRDefault="00C0288A">
      <w:r>
        <w:t>Bournemouth</w:t>
      </w:r>
      <w:r w:rsidR="0062726E">
        <w:t xml:space="preserve"> University’s Code of Good Research Practice provides guiding principles a</w:t>
      </w:r>
      <w:r>
        <w:t>nd standards of good practice for</w:t>
      </w:r>
      <w:r w:rsidR="0062726E">
        <w:t xml:space="preserve"> research </w:t>
      </w:r>
      <w:r>
        <w:t>at the</w:t>
      </w:r>
      <w:r w:rsidR="0062726E">
        <w:t xml:space="preserve"> University. All those involved in research at the University are required to </w:t>
      </w:r>
      <w:r w:rsidR="00E4349C">
        <w:t>abide by the C</w:t>
      </w:r>
      <w:r w:rsidR="0062726E">
        <w:t>ode</w:t>
      </w:r>
      <w:r w:rsidR="00E4349C">
        <w:t>, which provides further guidance on som</w:t>
      </w:r>
      <w:r>
        <w:t>e of the issues highlighted in this Guide</w:t>
      </w:r>
      <w:r w:rsidR="0062726E">
        <w:t>:</w:t>
      </w:r>
    </w:p>
    <w:p w14:paraId="2EF59FDE" w14:textId="284F2D30" w:rsidR="0062726E" w:rsidRDefault="00BE1A33">
      <w:hyperlink r:id="rId12" w:history="1">
        <w:r w:rsidR="00D81E7A" w:rsidRPr="000D11C5">
          <w:rPr>
            <w:rStyle w:val="Hyperlink"/>
          </w:rPr>
          <w:t>https://intranetsp.bournemouth.ac.uk/policy/BU%20Code%20of%20Good%20Research%20Practice.pdf</w:t>
        </w:r>
      </w:hyperlink>
      <w:r w:rsidR="006E405D" w:rsidRPr="007E7AF0">
        <w:rPr>
          <w:rStyle w:val="Hyperlink"/>
          <w:color w:val="000000" w:themeColor="text1"/>
          <w:u w:val="none"/>
        </w:rPr>
        <w:t>.</w:t>
      </w:r>
    </w:p>
    <w:p w14:paraId="2EF59FDF" w14:textId="77777777" w:rsidR="008A1D38" w:rsidRDefault="008A1D38">
      <w:r>
        <w:t>Bournemouth University</w:t>
      </w:r>
      <w:r w:rsidR="00C0288A">
        <w:t>’s</w:t>
      </w:r>
      <w:r>
        <w:t xml:space="preserve"> Research Ethics Code of Practice provides guidance about conducting ethical research, and also touches on some of the issues raised here:</w:t>
      </w:r>
    </w:p>
    <w:p w14:paraId="2EF59FE0" w14:textId="769C4FB0" w:rsidR="008A1D38" w:rsidRDefault="00BE1A33">
      <w:hyperlink r:id="rId13" w:history="1">
        <w:r w:rsidR="005B237E">
          <w:rPr>
            <w:rStyle w:val="Hyperlink"/>
          </w:rPr>
          <w:t>https://intranetsp.bournemouth.ac.uk/pandptest/8B-research-ethics-code-of-practice.pdf</w:t>
        </w:r>
      </w:hyperlink>
      <w:r w:rsidR="006E405D" w:rsidRPr="007E7AF0">
        <w:rPr>
          <w:rStyle w:val="Hyperlink"/>
          <w:color w:val="000000" w:themeColor="text1"/>
          <w:u w:val="none"/>
        </w:rPr>
        <w:t>.</w:t>
      </w:r>
    </w:p>
    <w:p w14:paraId="2EF59FE1" w14:textId="77777777" w:rsidR="00D00268" w:rsidRDefault="00D00268">
      <w:pPr>
        <w:rPr>
          <w:b/>
          <w:u w:val="single"/>
        </w:rPr>
      </w:pPr>
    </w:p>
    <w:p w14:paraId="2EF59FE2" w14:textId="77777777" w:rsidR="0062726E" w:rsidRPr="00CC1257" w:rsidRDefault="0062726E">
      <w:pPr>
        <w:rPr>
          <w:b/>
          <w:u w:val="single"/>
        </w:rPr>
      </w:pPr>
      <w:r w:rsidRPr="00CC1257">
        <w:rPr>
          <w:b/>
          <w:u w:val="single"/>
        </w:rPr>
        <w:t>Examples of key legislation and regulations affecting research</w:t>
      </w:r>
    </w:p>
    <w:p w14:paraId="2EF59FE3" w14:textId="1C67CC9A" w:rsidR="007966A9" w:rsidRPr="004A1BD3" w:rsidRDefault="00925317">
      <w:pPr>
        <w:rPr>
          <w:b/>
        </w:rPr>
      </w:pPr>
      <w:r w:rsidRPr="004A1BD3">
        <w:rPr>
          <w:b/>
        </w:rPr>
        <w:t xml:space="preserve">Data Protection Act </w:t>
      </w:r>
      <w:r w:rsidR="004F7CFA">
        <w:rPr>
          <w:b/>
        </w:rPr>
        <w:t>201</w:t>
      </w:r>
      <w:r w:rsidRPr="004A1BD3">
        <w:rPr>
          <w:b/>
        </w:rPr>
        <w:t>8</w:t>
      </w:r>
    </w:p>
    <w:p w14:paraId="2EF59FE4" w14:textId="77777777" w:rsidR="004A1BD3" w:rsidRPr="004A1BD3" w:rsidRDefault="004A1BD3">
      <w:pPr>
        <w:rPr>
          <w:i/>
        </w:rPr>
      </w:pPr>
      <w:r w:rsidRPr="004A1BD3">
        <w:rPr>
          <w:i/>
        </w:rPr>
        <w:t>Key points</w:t>
      </w:r>
    </w:p>
    <w:p w14:paraId="2EF59FE5" w14:textId="2EB66F39" w:rsidR="00E476EE" w:rsidRPr="00CC1257" w:rsidRDefault="00925317" w:rsidP="00744901">
      <w:pPr>
        <w:pStyle w:val="ListParagraph"/>
        <w:numPr>
          <w:ilvl w:val="0"/>
          <w:numId w:val="1"/>
        </w:numPr>
      </w:pPr>
      <w:r>
        <w:t xml:space="preserve">The </w:t>
      </w:r>
      <w:r w:rsidR="00BC2483">
        <w:t xml:space="preserve">UK </w:t>
      </w:r>
      <w:r w:rsidR="00300FAF">
        <w:t>General Data Protection Regulation (</w:t>
      </w:r>
      <w:r w:rsidR="00BC2483">
        <w:t xml:space="preserve">UK </w:t>
      </w:r>
      <w:r w:rsidR="00300FAF">
        <w:t xml:space="preserve">GDPR) and the </w:t>
      </w:r>
      <w:r w:rsidR="00995483">
        <w:t xml:space="preserve">Data Protection Act </w:t>
      </w:r>
      <w:r w:rsidR="00300FAF">
        <w:t>201</w:t>
      </w:r>
      <w:r w:rsidR="00995483">
        <w:t>8</w:t>
      </w:r>
      <w:r>
        <w:t xml:space="preserve"> </w:t>
      </w:r>
      <w:r w:rsidR="00AB3391">
        <w:t xml:space="preserve">(DPA) </w:t>
      </w:r>
      <w:r w:rsidR="00300FAF">
        <w:t>provide</w:t>
      </w:r>
      <w:r w:rsidR="009E2202">
        <w:t xml:space="preserve"> a </w:t>
      </w:r>
      <w:r w:rsidR="00300FAF">
        <w:t xml:space="preserve">legal </w:t>
      </w:r>
      <w:r w:rsidR="009E2202">
        <w:t>framework to ensure that personal information is handled properly.</w:t>
      </w:r>
      <w:r w:rsidR="000511FF">
        <w:t xml:space="preserve"> </w:t>
      </w:r>
    </w:p>
    <w:p w14:paraId="4E83F4B5" w14:textId="77777777" w:rsidR="00CA368B" w:rsidRDefault="00CC1257" w:rsidP="00CC1257">
      <w:pPr>
        <w:pStyle w:val="ListParagraph"/>
        <w:numPr>
          <w:ilvl w:val="0"/>
          <w:numId w:val="1"/>
        </w:numPr>
      </w:pPr>
      <w:r>
        <w:rPr>
          <w:rFonts w:cs="Arial"/>
          <w:color w:val="000000"/>
          <w:lang w:eastAsia="en-GB"/>
        </w:rPr>
        <w:t xml:space="preserve">All research must comply with the </w:t>
      </w:r>
      <w:r w:rsidR="00BC2483">
        <w:rPr>
          <w:rFonts w:cs="Arial"/>
          <w:color w:val="000000"/>
          <w:lang w:eastAsia="en-GB"/>
        </w:rPr>
        <w:t xml:space="preserve">UK </w:t>
      </w:r>
      <w:r w:rsidR="00300FAF">
        <w:rPr>
          <w:rFonts w:cs="Arial"/>
          <w:color w:val="000000"/>
          <w:lang w:eastAsia="en-GB"/>
        </w:rPr>
        <w:t xml:space="preserve">GDPR and </w:t>
      </w:r>
      <w:r>
        <w:rPr>
          <w:rFonts w:cs="Arial"/>
          <w:color w:val="000000"/>
          <w:lang w:eastAsia="en-GB"/>
        </w:rPr>
        <w:t>D</w:t>
      </w:r>
      <w:r w:rsidR="00AB3391">
        <w:rPr>
          <w:rFonts w:cs="Arial"/>
          <w:color w:val="000000"/>
          <w:lang w:eastAsia="en-GB"/>
        </w:rPr>
        <w:t xml:space="preserve">PA </w:t>
      </w:r>
      <w:r>
        <w:rPr>
          <w:rFonts w:cs="Arial"/>
          <w:color w:val="000000"/>
          <w:lang w:eastAsia="en-GB"/>
        </w:rPr>
        <w:t xml:space="preserve">and the </w:t>
      </w:r>
      <w:r w:rsidR="00300FAF">
        <w:rPr>
          <w:rFonts w:cs="Arial"/>
          <w:color w:val="000000"/>
          <w:lang w:eastAsia="en-GB"/>
        </w:rPr>
        <w:t>data protection p</w:t>
      </w:r>
      <w:r>
        <w:rPr>
          <w:rFonts w:cs="Arial"/>
          <w:color w:val="000000"/>
          <w:lang w:eastAsia="en-GB"/>
        </w:rPr>
        <w:t xml:space="preserve">rinciples set out </w:t>
      </w:r>
      <w:r w:rsidR="00300FAF">
        <w:rPr>
          <w:rFonts w:cs="Arial"/>
          <w:color w:val="000000"/>
          <w:lang w:eastAsia="en-GB"/>
        </w:rPr>
        <w:t xml:space="preserve">under </w:t>
      </w:r>
      <w:r>
        <w:rPr>
          <w:rFonts w:cs="Arial"/>
          <w:color w:val="000000"/>
          <w:lang w:eastAsia="en-GB"/>
        </w:rPr>
        <w:t>the</w:t>
      </w:r>
      <w:r w:rsidR="00300FAF">
        <w:rPr>
          <w:rFonts w:cs="Arial"/>
          <w:color w:val="000000"/>
          <w:lang w:eastAsia="en-GB"/>
        </w:rPr>
        <w:t>se provisions</w:t>
      </w:r>
      <w:r>
        <w:rPr>
          <w:rFonts w:cs="Arial"/>
          <w:color w:val="000000"/>
          <w:lang w:eastAsia="en-GB"/>
        </w:rPr>
        <w:t xml:space="preserve">, </w:t>
      </w:r>
      <w:r>
        <w:t xml:space="preserve">which govern the collection, use, retention and transmission of personal </w:t>
      </w:r>
      <w:r w:rsidR="009849C3">
        <w:t>information</w:t>
      </w:r>
      <w:r>
        <w:t xml:space="preserve">; please see the University’s </w:t>
      </w:r>
      <w:hyperlink r:id="rId14" w:history="1">
        <w:r w:rsidRPr="00AB3391">
          <w:rPr>
            <w:rStyle w:val="Hyperlink"/>
          </w:rPr>
          <w:t>Data Protection Policy</w:t>
        </w:r>
      </w:hyperlink>
      <w:r>
        <w:t xml:space="preserve"> </w:t>
      </w:r>
      <w:r w:rsidR="00640753">
        <w:t xml:space="preserve">and the </w:t>
      </w:r>
      <w:hyperlink r:id="rId15" w:history="1">
        <w:r w:rsidR="00640753" w:rsidRPr="00640753">
          <w:rPr>
            <w:rStyle w:val="Hyperlink"/>
          </w:rPr>
          <w:t>Outputs and d</w:t>
        </w:r>
        <w:r w:rsidR="00640753" w:rsidRPr="00640753">
          <w:rPr>
            <w:rStyle w:val="Hyperlink"/>
          </w:rPr>
          <w:t>ata</w:t>
        </w:r>
      </w:hyperlink>
      <w:r w:rsidR="00640753">
        <w:t xml:space="preserve"> section (under Policies and Procedures - Research) of the University’s intranet </w:t>
      </w:r>
      <w:r>
        <w:t>for further guidance.</w:t>
      </w:r>
      <w:r w:rsidR="00CA368B">
        <w:t xml:space="preserve"> </w:t>
      </w:r>
    </w:p>
    <w:p w14:paraId="2EF59FE6" w14:textId="2D74959C" w:rsidR="00CC1257" w:rsidRDefault="00CA368B" w:rsidP="00CC1257">
      <w:pPr>
        <w:pStyle w:val="ListParagraph"/>
        <w:numPr>
          <w:ilvl w:val="0"/>
          <w:numId w:val="1"/>
        </w:numPr>
      </w:pPr>
      <w:r>
        <w:t xml:space="preserve">A </w:t>
      </w:r>
      <w:r>
        <w:t>Data Management Plan</w:t>
      </w:r>
      <w:r>
        <w:t>, as d</w:t>
      </w:r>
      <w:r>
        <w:t xml:space="preserve">etailed </w:t>
      </w:r>
      <w:r>
        <w:t xml:space="preserve">in </w:t>
      </w:r>
      <w:r>
        <w:rPr>
          <w:rFonts w:cs="Arial"/>
          <w:color w:val="000000"/>
          <w:lang w:eastAsia="en-GB"/>
        </w:rPr>
        <w:t>t</w:t>
      </w:r>
      <w:r>
        <w:rPr>
          <w:rFonts w:cs="Arial"/>
          <w:color w:val="000000"/>
          <w:lang w:eastAsia="en-GB"/>
        </w:rPr>
        <w:t>he</w:t>
      </w:r>
      <w:r>
        <w:rPr>
          <w:rFonts w:cs="Arial"/>
          <w:color w:val="000000"/>
          <w:lang w:eastAsia="en-GB"/>
        </w:rPr>
        <w:t xml:space="preserve"> </w:t>
      </w:r>
      <w:r w:rsidRPr="00CA368B">
        <w:rPr>
          <w:rFonts w:cs="Arial"/>
          <w:color w:val="000000"/>
          <w:lang w:eastAsia="en-GB"/>
        </w:rPr>
        <w:t>University’s</w:t>
      </w:r>
      <w:r>
        <w:rPr>
          <w:rFonts w:cs="Arial"/>
          <w:color w:val="000000"/>
          <w:lang w:eastAsia="en-GB"/>
        </w:rPr>
        <w:t xml:space="preserve"> </w:t>
      </w:r>
      <w:hyperlink r:id="rId16" w:history="1">
        <w:r>
          <w:rPr>
            <w:rStyle w:val="Hyperlink"/>
          </w:rPr>
          <w:t>Research Data Policy</w:t>
        </w:r>
      </w:hyperlink>
      <w:r>
        <w:rPr>
          <w:rFonts w:cs="Arial"/>
          <w:color w:val="000000"/>
          <w:lang w:eastAsia="en-GB"/>
        </w:rPr>
        <w:t xml:space="preserve"> </w:t>
      </w:r>
      <w:r>
        <w:t xml:space="preserve">is fundamental to achieving </w:t>
      </w:r>
      <w:r>
        <w:t>data protection compliance.</w:t>
      </w:r>
    </w:p>
    <w:p w14:paraId="2EF59FE7" w14:textId="1B851CD4" w:rsidR="00CC1257" w:rsidRPr="00E4349C" w:rsidRDefault="00CC1257" w:rsidP="00744901">
      <w:pPr>
        <w:pStyle w:val="ListParagraph"/>
        <w:numPr>
          <w:ilvl w:val="0"/>
          <w:numId w:val="1"/>
        </w:numPr>
      </w:pPr>
      <w:r>
        <w:rPr>
          <w:rFonts w:cs="Arial"/>
          <w:color w:val="000000"/>
          <w:lang w:eastAsia="en-GB"/>
        </w:rPr>
        <w:t xml:space="preserve">All funded, </w:t>
      </w:r>
      <w:proofErr w:type="gramStart"/>
      <w:r>
        <w:rPr>
          <w:rFonts w:cs="Arial"/>
          <w:color w:val="000000"/>
          <w:lang w:eastAsia="en-GB"/>
        </w:rPr>
        <w:t>contractual</w:t>
      </w:r>
      <w:proofErr w:type="gramEnd"/>
      <w:r>
        <w:rPr>
          <w:rFonts w:cs="Arial"/>
          <w:color w:val="000000"/>
          <w:lang w:eastAsia="en-GB"/>
        </w:rPr>
        <w:t xml:space="preserve"> or collaborative research</w:t>
      </w:r>
      <w:r w:rsidR="006343E2">
        <w:rPr>
          <w:rFonts w:cs="Arial"/>
          <w:color w:val="000000"/>
          <w:lang w:eastAsia="en-GB"/>
        </w:rPr>
        <w:t xml:space="preserve"> </w:t>
      </w:r>
      <w:r w:rsidR="004462F1">
        <w:rPr>
          <w:rFonts w:cs="Arial"/>
          <w:color w:val="000000"/>
          <w:lang w:eastAsia="en-GB"/>
        </w:rPr>
        <w:t xml:space="preserve">must comply with the specified </w:t>
      </w:r>
      <w:r>
        <w:rPr>
          <w:rFonts w:cs="Arial"/>
          <w:color w:val="000000"/>
          <w:lang w:eastAsia="en-GB"/>
        </w:rPr>
        <w:t xml:space="preserve">requirements for </w:t>
      </w:r>
      <w:r w:rsidR="00736CB2">
        <w:rPr>
          <w:rFonts w:cs="Arial"/>
          <w:color w:val="000000"/>
          <w:lang w:eastAsia="en-GB"/>
        </w:rPr>
        <w:t xml:space="preserve">personal </w:t>
      </w:r>
      <w:r w:rsidR="009849C3">
        <w:rPr>
          <w:rFonts w:cs="Arial"/>
          <w:color w:val="000000"/>
          <w:lang w:eastAsia="en-GB"/>
        </w:rPr>
        <w:t xml:space="preserve">information </w:t>
      </w:r>
      <w:r>
        <w:rPr>
          <w:rFonts w:cs="Arial"/>
          <w:color w:val="000000"/>
          <w:lang w:eastAsia="en-GB"/>
        </w:rPr>
        <w:t xml:space="preserve">storage and retention. The </w:t>
      </w:r>
      <w:r w:rsidR="00CA368B" w:rsidRPr="00CA368B">
        <w:rPr>
          <w:rFonts w:cs="Arial"/>
          <w:color w:val="000000"/>
          <w:lang w:eastAsia="en-GB"/>
        </w:rPr>
        <w:t>University’s</w:t>
      </w:r>
      <w:r w:rsidR="00CA368B">
        <w:rPr>
          <w:rFonts w:cs="Arial"/>
          <w:color w:val="000000"/>
          <w:lang w:eastAsia="en-GB"/>
        </w:rPr>
        <w:t xml:space="preserve"> </w:t>
      </w:r>
      <w:hyperlink r:id="rId17" w:history="1">
        <w:r w:rsidR="00CA368B">
          <w:rPr>
            <w:rStyle w:val="Hyperlink"/>
          </w:rPr>
          <w:t>Research Data Policy</w:t>
        </w:r>
      </w:hyperlink>
      <w:r w:rsidR="00CA368B">
        <w:rPr>
          <w:rFonts w:cs="Arial"/>
          <w:color w:val="000000"/>
          <w:lang w:eastAsia="en-GB"/>
        </w:rPr>
        <w:t xml:space="preserve"> </w:t>
      </w:r>
      <w:r w:rsidR="001F34C6">
        <w:t>sets out requirements on data storage and retention and detailed guidance can be found at</w:t>
      </w:r>
      <w:r w:rsidR="001F34C6">
        <w:t xml:space="preserve"> the University’s </w:t>
      </w:r>
      <w:hyperlink r:id="rId18" w:history="1">
        <w:r w:rsidR="001F34C6" w:rsidRPr="001F34C6">
          <w:rPr>
            <w:rStyle w:val="Hyperlink"/>
          </w:rPr>
          <w:t>Data protection and privacy</w:t>
        </w:r>
      </w:hyperlink>
      <w:r w:rsidR="001F34C6">
        <w:t xml:space="preserve"> webpage. </w:t>
      </w:r>
    </w:p>
    <w:p w14:paraId="2EF59FE8" w14:textId="77777777" w:rsidR="007814D0" w:rsidRDefault="007814D0" w:rsidP="007814D0">
      <w:pPr>
        <w:pStyle w:val="ListParagraph"/>
        <w:numPr>
          <w:ilvl w:val="0"/>
          <w:numId w:val="1"/>
        </w:numPr>
      </w:pPr>
      <w:r>
        <w:t xml:space="preserve">Funders are </w:t>
      </w:r>
      <w:r w:rsidRPr="007814D0">
        <w:t>increasingly stipulating retention periods linked to their awards</w:t>
      </w:r>
      <w:r>
        <w:t xml:space="preserve">, so </w:t>
      </w:r>
      <w:r w:rsidR="00A67C07">
        <w:t xml:space="preserve">researchers </w:t>
      </w:r>
      <w:r>
        <w:t xml:space="preserve">should ensure </w:t>
      </w:r>
      <w:r w:rsidR="00A67C07">
        <w:t xml:space="preserve">they </w:t>
      </w:r>
      <w:r>
        <w:t xml:space="preserve">are aware of any retention periods specified by </w:t>
      </w:r>
      <w:r w:rsidR="00C84939">
        <w:t xml:space="preserve">project </w:t>
      </w:r>
      <w:r>
        <w:t>funders.</w:t>
      </w:r>
    </w:p>
    <w:p w14:paraId="2EF59FE9" w14:textId="77777777" w:rsidR="00E4349C" w:rsidRDefault="004A1BD3" w:rsidP="006178FC">
      <w:pPr>
        <w:pStyle w:val="ListParagraph"/>
        <w:numPr>
          <w:ilvl w:val="0"/>
          <w:numId w:val="1"/>
        </w:numPr>
      </w:pPr>
      <w:r>
        <w:t xml:space="preserve">The protection of personal </w:t>
      </w:r>
      <w:r w:rsidR="009849C3">
        <w:t xml:space="preserve">information </w:t>
      </w:r>
      <w:r>
        <w:t xml:space="preserve">includes the need for secure storage, as well as </w:t>
      </w:r>
      <w:r w:rsidR="00F3423A">
        <w:t>the requirement for proper consent to</w:t>
      </w:r>
      <w:r>
        <w:t xml:space="preserve"> access and use</w:t>
      </w:r>
      <w:r w:rsidR="00F3423A">
        <w:t xml:space="preserve"> </w:t>
      </w:r>
      <w:r w:rsidR="009849C3">
        <w:t>personal information</w:t>
      </w:r>
      <w:r>
        <w:t>.</w:t>
      </w:r>
      <w:r w:rsidR="006343E2">
        <w:t xml:space="preserve"> Note that personal </w:t>
      </w:r>
      <w:r w:rsidR="009849C3">
        <w:t xml:space="preserve">information </w:t>
      </w:r>
      <w:r w:rsidR="006343E2">
        <w:t>may include photographs, audio clips and film clips.</w:t>
      </w:r>
    </w:p>
    <w:p w14:paraId="28B88C7C" w14:textId="7BC650C1" w:rsidR="007E21E8" w:rsidRDefault="007E21E8" w:rsidP="006178FC">
      <w:pPr>
        <w:pStyle w:val="ListParagraph"/>
        <w:numPr>
          <w:ilvl w:val="0"/>
          <w:numId w:val="1"/>
        </w:numPr>
      </w:pPr>
      <w:r>
        <w:lastRenderedPageBreak/>
        <w:t xml:space="preserve">One key aspect </w:t>
      </w:r>
      <w:r w:rsidR="00300FAF">
        <w:t xml:space="preserve">of compliance under the </w:t>
      </w:r>
      <w:r w:rsidR="00BC2483">
        <w:t xml:space="preserve">UK </w:t>
      </w:r>
      <w:r w:rsidR="00300FAF">
        <w:t xml:space="preserve">GDPR and DPA is </w:t>
      </w:r>
      <w:r>
        <w:t xml:space="preserve">privacy notices – </w:t>
      </w:r>
      <w:proofErr w:type="gramStart"/>
      <w:r>
        <w:t>i.e.</w:t>
      </w:r>
      <w:proofErr w:type="gramEnd"/>
      <w:r>
        <w:t xml:space="preserve"> the statements used when collecting personal data – which need to include information explaining:</w:t>
      </w:r>
    </w:p>
    <w:p w14:paraId="40A2AC67" w14:textId="732FB50E" w:rsidR="007E21E8" w:rsidRDefault="00300FAF" w:rsidP="00435B63">
      <w:pPr>
        <w:pStyle w:val="ListParagraph"/>
        <w:numPr>
          <w:ilvl w:val="1"/>
          <w:numId w:val="1"/>
        </w:numPr>
      </w:pPr>
      <w:r>
        <w:t xml:space="preserve">BU’s </w:t>
      </w:r>
      <w:r w:rsidR="007E21E8">
        <w:t>legal basis for processing data;</w:t>
      </w:r>
    </w:p>
    <w:p w14:paraId="3CA46BEC" w14:textId="1E286DD5" w:rsidR="0076324B" w:rsidRDefault="0076324B" w:rsidP="00435B63">
      <w:pPr>
        <w:pStyle w:val="ListParagraph"/>
        <w:numPr>
          <w:ilvl w:val="1"/>
          <w:numId w:val="1"/>
        </w:numPr>
      </w:pPr>
      <w:r>
        <w:t>individuals’</w:t>
      </w:r>
      <w:r>
        <w:t xml:space="preserve"> </w:t>
      </w:r>
      <w:r>
        <w:t xml:space="preserve">data </w:t>
      </w:r>
      <w:proofErr w:type="gramStart"/>
      <w:r>
        <w:t>rights;</w:t>
      </w:r>
      <w:proofErr w:type="gramEnd"/>
    </w:p>
    <w:p w14:paraId="2B78488E" w14:textId="7B7B1A14" w:rsidR="007E21E8" w:rsidRDefault="007E21E8" w:rsidP="00435B63">
      <w:pPr>
        <w:pStyle w:val="ListParagraph"/>
        <w:numPr>
          <w:ilvl w:val="1"/>
          <w:numId w:val="1"/>
        </w:numPr>
      </w:pPr>
      <w:r>
        <w:t xml:space="preserve">how long </w:t>
      </w:r>
      <w:r w:rsidR="00300FAF">
        <w:t xml:space="preserve">BU </w:t>
      </w:r>
      <w:r>
        <w:t>will keep the data; and</w:t>
      </w:r>
    </w:p>
    <w:p w14:paraId="7A8D9152" w14:textId="79F18EA6" w:rsidR="007E21E8" w:rsidRDefault="007E21E8" w:rsidP="00435B63">
      <w:pPr>
        <w:pStyle w:val="ListParagraph"/>
        <w:numPr>
          <w:ilvl w:val="1"/>
          <w:numId w:val="1"/>
        </w:numPr>
      </w:pPr>
      <w:r>
        <w:t xml:space="preserve">that individuals have a right to complain to the </w:t>
      </w:r>
      <w:proofErr w:type="spellStart"/>
      <w:r>
        <w:t>ICO</w:t>
      </w:r>
      <w:proofErr w:type="spellEnd"/>
      <w:r>
        <w:t xml:space="preserve"> if they think there is a problem with the way their data is being handled.</w:t>
      </w:r>
    </w:p>
    <w:p w14:paraId="67DC3989" w14:textId="77777777" w:rsidR="00C24013" w:rsidRDefault="007E21E8" w:rsidP="00C24013">
      <w:pPr>
        <w:spacing w:after="0"/>
        <w:ind w:left="720"/>
      </w:pPr>
      <w:r>
        <w:t xml:space="preserve">Note that the </w:t>
      </w:r>
      <w:r w:rsidR="00BC2483">
        <w:t xml:space="preserve">UK </w:t>
      </w:r>
      <w:r>
        <w:t>GDPR requires the information to be provided in concise, easy to understand and clear language.</w:t>
      </w:r>
    </w:p>
    <w:p w14:paraId="696CCB84" w14:textId="49A71715" w:rsidR="007E21E8" w:rsidRDefault="00C24013" w:rsidP="00C24013">
      <w:pPr>
        <w:ind w:left="720"/>
      </w:pPr>
      <w:r>
        <w:t>The University</w:t>
      </w:r>
      <w:r>
        <w:t xml:space="preserve"> has a</w:t>
      </w:r>
      <w:r>
        <w:t xml:space="preserve"> </w:t>
      </w:r>
      <w:hyperlink r:id="rId19" w:history="1">
        <w:r w:rsidRPr="00C24013">
          <w:rPr>
            <w:rStyle w:val="Hyperlink"/>
          </w:rPr>
          <w:t xml:space="preserve">Research Participant </w:t>
        </w:r>
        <w:r w:rsidRPr="00C24013">
          <w:rPr>
            <w:rStyle w:val="Hyperlink"/>
          </w:rPr>
          <w:t>Privacy Notice</w:t>
        </w:r>
      </w:hyperlink>
      <w:r w:rsidRPr="00C24013">
        <w:t xml:space="preserve"> for people who are participating in, or have been invited to participate in, an academic research project being undertaken by BU </w:t>
      </w:r>
      <w:r>
        <w:t>researchers.</w:t>
      </w:r>
      <w:r w:rsidRPr="00C24013">
        <w:t xml:space="preserve"> </w:t>
      </w:r>
      <w:r>
        <w:t>A link to this Notice is provided within the University’s P</w:t>
      </w:r>
      <w:r w:rsidRPr="00C24013">
        <w:t xml:space="preserve">articipant </w:t>
      </w:r>
      <w:r>
        <w:t>I</w:t>
      </w:r>
      <w:r w:rsidRPr="00C24013">
        <w:t xml:space="preserve">nformation </w:t>
      </w:r>
      <w:r>
        <w:t>S</w:t>
      </w:r>
      <w:r w:rsidRPr="00C24013">
        <w:t xml:space="preserve">heet provided to </w:t>
      </w:r>
      <w:r>
        <w:t xml:space="preserve">research </w:t>
      </w:r>
      <w:r w:rsidRPr="00C24013">
        <w:t>participant</w:t>
      </w:r>
      <w:r>
        <w:t>s</w:t>
      </w:r>
      <w:r w:rsidRPr="00C24013">
        <w:t xml:space="preserve"> by </w:t>
      </w:r>
      <w:proofErr w:type="gramStart"/>
      <w:r>
        <w:t>University</w:t>
      </w:r>
      <w:proofErr w:type="gramEnd"/>
      <w:r>
        <w:t xml:space="preserve"> </w:t>
      </w:r>
      <w:r w:rsidRPr="00C24013">
        <w:t>researchers</w:t>
      </w:r>
      <w:r>
        <w:t xml:space="preserve"> before they decide whether or not they wish to participate in the research</w:t>
      </w:r>
      <w:r w:rsidRPr="00C24013">
        <w:t>.</w:t>
      </w:r>
      <w:r w:rsidR="001B585E">
        <w:t xml:space="preserve"> </w:t>
      </w:r>
    </w:p>
    <w:p w14:paraId="6D094F8C" w14:textId="77777777" w:rsidR="00590724" w:rsidRDefault="00175249" w:rsidP="00590724">
      <w:pPr>
        <w:pStyle w:val="ListParagraph"/>
        <w:numPr>
          <w:ilvl w:val="0"/>
          <w:numId w:val="1"/>
        </w:numPr>
      </w:pPr>
      <w:r>
        <w:t xml:space="preserve">Where </w:t>
      </w:r>
      <w:r w:rsidR="001B585E" w:rsidRPr="001B585E">
        <w:t>consent</w:t>
      </w:r>
      <w:r w:rsidR="001B585E">
        <w:t xml:space="preserve"> </w:t>
      </w:r>
      <w:r>
        <w:t xml:space="preserve">is used as </w:t>
      </w:r>
      <w:r w:rsidR="001B585E">
        <w:t xml:space="preserve">the </w:t>
      </w:r>
      <w:r>
        <w:t xml:space="preserve">legal basis for </w:t>
      </w:r>
      <w:r w:rsidR="001B585E">
        <w:t>processing of personal data</w:t>
      </w:r>
      <w:r>
        <w:t>, this</w:t>
      </w:r>
      <w:r w:rsidR="001B585E" w:rsidRPr="001B585E">
        <w:t xml:space="preserve"> consent mus</w:t>
      </w:r>
      <w:r w:rsidR="00F81438">
        <w:t xml:space="preserve">t be freely given, specific, </w:t>
      </w:r>
      <w:r w:rsidR="001B585E" w:rsidRPr="001B585E">
        <w:t xml:space="preserve">fully </w:t>
      </w:r>
      <w:proofErr w:type="gramStart"/>
      <w:r w:rsidR="001B585E" w:rsidRPr="001B585E">
        <w:t>informed</w:t>
      </w:r>
      <w:proofErr w:type="gramEnd"/>
      <w:r w:rsidR="00F81438">
        <w:t xml:space="preserve"> and unambiguous</w:t>
      </w:r>
      <w:r w:rsidR="001B585E" w:rsidRPr="001B585E">
        <w:t>. Consent must also be revocable (</w:t>
      </w:r>
      <w:proofErr w:type="gramStart"/>
      <w:r w:rsidR="001B585E" w:rsidRPr="001B585E">
        <w:t>i</w:t>
      </w:r>
      <w:r w:rsidR="001B585E">
        <w:t>.</w:t>
      </w:r>
      <w:r w:rsidR="001B585E" w:rsidRPr="001B585E">
        <w:t>e</w:t>
      </w:r>
      <w:r w:rsidR="001B585E">
        <w:t>.</w:t>
      </w:r>
      <w:proofErr w:type="gramEnd"/>
      <w:r w:rsidR="001B585E" w:rsidRPr="001B585E">
        <w:t xml:space="preserve"> people must be able to withdraw their consent) and you should have procedures in place to action and record it when this happens.</w:t>
      </w:r>
      <w:r>
        <w:t xml:space="preserve"> </w:t>
      </w:r>
    </w:p>
    <w:p w14:paraId="187CF239" w14:textId="77777777" w:rsidR="00590724" w:rsidRDefault="00590724" w:rsidP="00590724">
      <w:pPr>
        <w:pStyle w:val="ListParagraph"/>
        <w:numPr>
          <w:ilvl w:val="0"/>
          <w:numId w:val="1"/>
        </w:numPr>
      </w:pPr>
      <w:r w:rsidRPr="00590724">
        <w:t xml:space="preserve">Consent is not generally the legal basis under the data protection legislation for use of personal information for research.  This is because </w:t>
      </w:r>
      <w:r>
        <w:t xml:space="preserve">the University </w:t>
      </w:r>
      <w:r w:rsidRPr="00590724">
        <w:t xml:space="preserve">can only rely on consent as the basis for processing data if </w:t>
      </w:r>
      <w:r>
        <w:t xml:space="preserve">the University </w:t>
      </w:r>
      <w:r w:rsidRPr="00590724">
        <w:t xml:space="preserve">would always be able to act on a withdrawal of consent, by removing data from </w:t>
      </w:r>
      <w:r>
        <w:t xml:space="preserve">its </w:t>
      </w:r>
      <w:r w:rsidRPr="00590724">
        <w:t xml:space="preserve">research project and outputs.  Often </w:t>
      </w:r>
      <w:r>
        <w:t xml:space="preserve">the University </w:t>
      </w:r>
      <w:r w:rsidRPr="00590724">
        <w:t>would not be able to do this in the context of a research project, as this could affect the validity and integrity of the research process and/or the outputs from the research.</w:t>
      </w:r>
    </w:p>
    <w:p w14:paraId="1C073DBD" w14:textId="77777777" w:rsidR="00590724" w:rsidRDefault="00590724" w:rsidP="00590724">
      <w:pPr>
        <w:pStyle w:val="ListParagraph"/>
        <w:numPr>
          <w:ilvl w:val="0"/>
          <w:numId w:val="1"/>
        </w:numPr>
      </w:pPr>
      <w:r>
        <w:t xml:space="preserve">In general, where the University </w:t>
      </w:r>
      <w:r>
        <w:t xml:space="preserve">is </w:t>
      </w:r>
      <w:r>
        <w:t>collecting and processing personal data for the purposes of an academic research project</w:t>
      </w:r>
      <w:r>
        <w:t>s,</w:t>
      </w:r>
      <w:r>
        <w:t xml:space="preserve"> </w:t>
      </w:r>
      <w:r>
        <w:t xml:space="preserve">we rely on the </w:t>
      </w:r>
      <w:r>
        <w:t xml:space="preserve">following </w:t>
      </w:r>
      <w:r>
        <w:t>legal bases/</w:t>
      </w:r>
      <w:r>
        <w:t>conditions:</w:t>
      </w:r>
    </w:p>
    <w:p w14:paraId="393BF8DD" w14:textId="6F23AE12" w:rsidR="00590724" w:rsidRDefault="00590724" w:rsidP="00590724">
      <w:pPr>
        <w:pStyle w:val="ListParagraph"/>
        <w:numPr>
          <w:ilvl w:val="1"/>
          <w:numId w:val="1"/>
        </w:numPr>
      </w:pPr>
      <w:r>
        <w:t xml:space="preserve">Article 6.1(e) of the </w:t>
      </w:r>
      <w:r>
        <w:t xml:space="preserve">UK </w:t>
      </w:r>
      <w:r>
        <w:t xml:space="preserve">GDPR, </w:t>
      </w:r>
      <w:proofErr w:type="gramStart"/>
      <w:r>
        <w:t>i.e.</w:t>
      </w:r>
      <w:proofErr w:type="gramEnd"/>
      <w:r>
        <w:t xml:space="preserve"> our processing is necessary for the performance of a task carried out in the public interest. Research is a task that the University performs in the public interest, as part of our core function as a </w:t>
      </w:r>
      <w:proofErr w:type="gramStart"/>
      <w:r>
        <w:t>university;</w:t>
      </w:r>
      <w:proofErr w:type="gramEnd"/>
    </w:p>
    <w:p w14:paraId="140176D9" w14:textId="11792610" w:rsidR="00590724" w:rsidRDefault="00590724" w:rsidP="00590724">
      <w:pPr>
        <w:pStyle w:val="ListParagraph"/>
        <w:numPr>
          <w:ilvl w:val="1"/>
          <w:numId w:val="1"/>
        </w:numPr>
      </w:pPr>
      <w:r>
        <w:t xml:space="preserve">Article 9.2(j) of the GDPR, </w:t>
      </w:r>
      <w:proofErr w:type="gramStart"/>
      <w:r>
        <w:t>i.e.</w:t>
      </w:r>
      <w:proofErr w:type="gramEnd"/>
      <w:r>
        <w:t xml:space="preserve"> our processing is necessary for research purposes or statistical purposes (this condition applies as long as we are applying appropriate protections to keep </w:t>
      </w:r>
      <w:r>
        <w:t xml:space="preserve">the </w:t>
      </w:r>
      <w:r>
        <w:t xml:space="preserve">data secure and safeguard </w:t>
      </w:r>
      <w:r>
        <w:t xml:space="preserve">data subjects’ </w:t>
      </w:r>
      <w:r>
        <w:t>interests).</w:t>
      </w:r>
    </w:p>
    <w:p w14:paraId="2EF59FEA" w14:textId="3E3C0E42" w:rsidR="00976CC8" w:rsidRDefault="00AA20A3" w:rsidP="00A67C07">
      <w:pPr>
        <w:pStyle w:val="ListParagraph"/>
        <w:numPr>
          <w:ilvl w:val="0"/>
          <w:numId w:val="1"/>
        </w:numPr>
      </w:pPr>
      <w:r>
        <w:t xml:space="preserve">Researchers should also be aware of the open access requirements associated with their research. </w:t>
      </w:r>
    </w:p>
    <w:p w14:paraId="2EF59FEB" w14:textId="77777777" w:rsidR="004A1BD3" w:rsidRPr="004A1BD3" w:rsidRDefault="009E2202" w:rsidP="004A1BD3">
      <w:pPr>
        <w:rPr>
          <w:i/>
        </w:rPr>
      </w:pPr>
      <w:bookmarkStart w:id="0" w:name="d.en.134937"/>
      <w:bookmarkEnd w:id="0"/>
      <w:r>
        <w:rPr>
          <w:i/>
        </w:rPr>
        <w:t>W</w:t>
      </w:r>
      <w:r w:rsidR="004A1BD3" w:rsidRPr="004A1BD3">
        <w:rPr>
          <w:i/>
        </w:rPr>
        <w:t>here can I find out more?</w:t>
      </w:r>
    </w:p>
    <w:p w14:paraId="2EF59FEC" w14:textId="77777777" w:rsidR="004A1BD3" w:rsidRDefault="00B61575" w:rsidP="004A1BD3">
      <w:pPr>
        <w:pStyle w:val="ListParagraph"/>
        <w:numPr>
          <w:ilvl w:val="0"/>
          <w:numId w:val="2"/>
        </w:numPr>
      </w:pPr>
      <w:r>
        <w:t>The University’s Data Protection Policy can be found in the Legal section of Policies and Procedures on the staff intranet:</w:t>
      </w:r>
    </w:p>
    <w:p w14:paraId="2EF59FED" w14:textId="77777777" w:rsidR="00B61575" w:rsidRDefault="00BE1A33" w:rsidP="00B61575">
      <w:pPr>
        <w:pStyle w:val="ListParagraph"/>
      </w:pPr>
      <w:hyperlink r:id="rId20" w:history="1">
        <w:r w:rsidR="00B61575" w:rsidRPr="00222A47">
          <w:rPr>
            <w:rStyle w:val="Hyperlink"/>
          </w:rPr>
          <w:t>https://staffintranet.bournemouth.ac.uk/aboutbu/policiesprocedures/</w:t>
        </w:r>
      </w:hyperlink>
      <w:r w:rsidR="006E405D" w:rsidRPr="007E7AF0">
        <w:rPr>
          <w:rStyle w:val="Hyperlink"/>
          <w:color w:val="000000" w:themeColor="text1"/>
          <w:u w:val="none"/>
        </w:rPr>
        <w:t>.</w:t>
      </w:r>
    </w:p>
    <w:p w14:paraId="2EF59FEE" w14:textId="77777777" w:rsidR="004A1BD3" w:rsidRPr="00435B63" w:rsidRDefault="00B51807" w:rsidP="00B51807">
      <w:pPr>
        <w:pStyle w:val="ListParagraph"/>
        <w:numPr>
          <w:ilvl w:val="0"/>
          <w:numId w:val="2"/>
        </w:numPr>
        <w:rPr>
          <w:rStyle w:val="Hyperlink"/>
          <w:color w:val="auto"/>
          <w:u w:val="none"/>
        </w:rPr>
      </w:pPr>
      <w:r>
        <w:t xml:space="preserve">The Guide to Data Protection issued by the Information Commissioner’s Office can be found at: </w:t>
      </w:r>
      <w:hyperlink r:id="rId21" w:history="1">
        <w:r w:rsidRPr="00617128">
          <w:rPr>
            <w:rStyle w:val="Hyperlink"/>
          </w:rPr>
          <w:t>https://</w:t>
        </w:r>
        <w:proofErr w:type="spellStart"/>
        <w:r w:rsidRPr="00617128">
          <w:rPr>
            <w:rStyle w:val="Hyperlink"/>
          </w:rPr>
          <w:t>ico.org.uk</w:t>
        </w:r>
        <w:proofErr w:type="spellEnd"/>
        <w:r w:rsidRPr="00617128">
          <w:rPr>
            <w:rStyle w:val="Hyperlink"/>
          </w:rPr>
          <w:t>/for-organisations/guide-to-data-protection/</w:t>
        </w:r>
      </w:hyperlink>
      <w:r w:rsidR="006E405D" w:rsidRPr="007E7AF0">
        <w:rPr>
          <w:rStyle w:val="Hyperlink"/>
          <w:color w:val="000000" w:themeColor="text1"/>
          <w:u w:val="none"/>
        </w:rPr>
        <w:t>.</w:t>
      </w:r>
    </w:p>
    <w:p w14:paraId="3E38B97D" w14:textId="127AF69E" w:rsidR="00F81438" w:rsidRPr="00435B63" w:rsidRDefault="00F81438" w:rsidP="00B51807">
      <w:pPr>
        <w:pStyle w:val="ListParagraph"/>
        <w:numPr>
          <w:ilvl w:val="0"/>
          <w:numId w:val="2"/>
        </w:numPr>
        <w:rPr>
          <w:rStyle w:val="Hyperlink"/>
          <w:color w:val="auto"/>
          <w:u w:val="none"/>
        </w:rPr>
      </w:pPr>
      <w:r>
        <w:rPr>
          <w:rStyle w:val="Hyperlink"/>
          <w:color w:val="000000" w:themeColor="text1"/>
          <w:u w:val="none"/>
        </w:rPr>
        <w:t xml:space="preserve">The Information Commissioner’s Guidance to </w:t>
      </w:r>
      <w:r w:rsidR="002500AE">
        <w:rPr>
          <w:rStyle w:val="Hyperlink"/>
          <w:color w:val="000000" w:themeColor="text1"/>
          <w:u w:val="none"/>
        </w:rPr>
        <w:t xml:space="preserve">the UK </w:t>
      </w:r>
      <w:r>
        <w:rPr>
          <w:rStyle w:val="Hyperlink"/>
          <w:color w:val="000000" w:themeColor="text1"/>
          <w:u w:val="none"/>
        </w:rPr>
        <w:t>GDPR can be found here:</w:t>
      </w:r>
    </w:p>
    <w:p w14:paraId="5E703591" w14:textId="452EB97D" w:rsidR="00F81438" w:rsidRPr="002500AE" w:rsidRDefault="002500AE" w:rsidP="00435B63">
      <w:pPr>
        <w:pStyle w:val="ListParagraph"/>
        <w:rPr>
          <w:rStyle w:val="Hyperlink"/>
        </w:rPr>
      </w:pPr>
      <w:r>
        <w:fldChar w:fldCharType="begin"/>
      </w:r>
      <w:r>
        <w:instrText>HYPERLINK "https://ico.org.uk/for-organisations/guide-to-data-protection/guide-to-the-general-data-protection-regulation-gdpr/?_ga=1.1900017.151605751.1464189410"</w:instrText>
      </w:r>
      <w:r>
        <w:fldChar w:fldCharType="separate"/>
      </w:r>
      <w:r w:rsidR="00F81438" w:rsidRPr="002500AE">
        <w:rPr>
          <w:rStyle w:val="Hyperlink"/>
        </w:rPr>
        <w:t>https://ico.org.uk/for-organisations/data-protection-reform/guidance-what-to-expect-and-when/?_ga=1.1900017.151605751.1464189410</w:t>
      </w:r>
    </w:p>
    <w:p w14:paraId="2EF59FEF" w14:textId="40DC13E0" w:rsidR="00E0735F" w:rsidRPr="009F51A5" w:rsidRDefault="002500AE" w:rsidP="00E476EE">
      <w:pPr>
        <w:pStyle w:val="ListParagraph"/>
        <w:numPr>
          <w:ilvl w:val="0"/>
          <w:numId w:val="2"/>
        </w:numPr>
        <w:rPr>
          <w:color w:val="0563C1" w:themeColor="hyperlink"/>
          <w:u w:val="single"/>
        </w:rPr>
      </w:pPr>
      <w:r>
        <w:lastRenderedPageBreak/>
        <w:fldChar w:fldCharType="end"/>
      </w:r>
      <w:r w:rsidR="004462F1">
        <w:t xml:space="preserve">The University’s </w:t>
      </w:r>
      <w:hyperlink r:id="rId22" w:history="1">
        <w:r w:rsidR="004462F1" w:rsidRPr="00712547">
          <w:rPr>
            <w:rStyle w:val="Hyperlink"/>
          </w:rPr>
          <w:t>Code of Good Research Practice</w:t>
        </w:r>
      </w:hyperlink>
      <w:r w:rsidR="004462F1">
        <w:t xml:space="preserve"> and its </w:t>
      </w:r>
      <w:hyperlink r:id="rId23" w:history="1">
        <w:r w:rsidR="004945F9" w:rsidRPr="00712547">
          <w:rPr>
            <w:rStyle w:val="Hyperlink"/>
          </w:rPr>
          <w:t>Research Ethics Code of Practice</w:t>
        </w:r>
      </w:hyperlink>
      <w:r w:rsidR="004462F1">
        <w:t xml:space="preserve"> contain further guidance on complying with certain aspects of </w:t>
      </w:r>
      <w:r>
        <w:t>data protection legislation</w:t>
      </w:r>
      <w:r w:rsidR="004462F1">
        <w:t>.</w:t>
      </w:r>
    </w:p>
    <w:p w14:paraId="2EF59FF0" w14:textId="77777777" w:rsidR="00AA20A3" w:rsidRPr="00E476EE" w:rsidRDefault="00AA20A3" w:rsidP="00E476EE">
      <w:pPr>
        <w:pStyle w:val="ListParagraph"/>
        <w:numPr>
          <w:ilvl w:val="0"/>
          <w:numId w:val="2"/>
        </w:numPr>
        <w:rPr>
          <w:color w:val="0563C1" w:themeColor="hyperlink"/>
          <w:u w:val="single"/>
        </w:rPr>
      </w:pPr>
      <w:r>
        <w:t xml:space="preserve">Information about HEFCE’s Open Access Policy is available on the University’s Research Blog:  </w:t>
      </w:r>
      <w:hyperlink r:id="rId24" w:history="1">
        <w:r w:rsidRPr="000378BF">
          <w:rPr>
            <w:rStyle w:val="Hyperlink"/>
          </w:rPr>
          <w:t>http://blogs.bournemouth.ac.uk/research/2015/07/28/hefce-open-access-policy-adjustments-and-qualifications/</w:t>
        </w:r>
      </w:hyperlink>
      <w:r>
        <w:t xml:space="preserve">. </w:t>
      </w:r>
    </w:p>
    <w:p w14:paraId="2EF59FF2" w14:textId="77777777" w:rsidR="004A1BD3" w:rsidRPr="00C517E7" w:rsidRDefault="006C4B0E" w:rsidP="004A1BD3">
      <w:pPr>
        <w:rPr>
          <w:b/>
        </w:rPr>
      </w:pPr>
      <w:r w:rsidRPr="00C517E7">
        <w:rPr>
          <w:b/>
        </w:rPr>
        <w:t>Equality Act</w:t>
      </w:r>
      <w:r w:rsidR="00C90EEF" w:rsidRPr="00C517E7">
        <w:rPr>
          <w:b/>
        </w:rPr>
        <w:t xml:space="preserve"> 2010</w:t>
      </w:r>
    </w:p>
    <w:p w14:paraId="2EF59FF3" w14:textId="77777777" w:rsidR="000D4FD3" w:rsidRPr="00C517E7" w:rsidRDefault="000D4FD3" w:rsidP="004A1BD3">
      <w:pPr>
        <w:rPr>
          <w:i/>
        </w:rPr>
      </w:pPr>
      <w:r w:rsidRPr="00C517E7">
        <w:rPr>
          <w:i/>
        </w:rPr>
        <w:t>Key points</w:t>
      </w:r>
    </w:p>
    <w:p w14:paraId="2EF59FF4" w14:textId="1FBCAC06" w:rsidR="00EC6F9F" w:rsidRDefault="00F3423A" w:rsidP="00EC6F9F">
      <w:pPr>
        <w:pStyle w:val="ListParagraph"/>
        <w:numPr>
          <w:ilvl w:val="0"/>
          <w:numId w:val="3"/>
        </w:numPr>
      </w:pPr>
      <w:r>
        <w:t>The Equality Act</w:t>
      </w:r>
      <w:r w:rsidR="0063386E">
        <w:t xml:space="preserve"> (EA)</w:t>
      </w:r>
      <w:r w:rsidR="00C517E7">
        <w:t xml:space="preserve"> replace</w:t>
      </w:r>
      <w:r w:rsidR="007E044B">
        <w:t>d</w:t>
      </w:r>
      <w:r w:rsidR="00C517E7">
        <w:t xml:space="preserve"> all</w:t>
      </w:r>
      <w:r w:rsidR="00EC6F9F">
        <w:t xml:space="preserve"> previous anti-discrimination laws with a single piece of l</w:t>
      </w:r>
      <w:r>
        <w:t>egislation</w:t>
      </w:r>
      <w:r w:rsidR="00E52F11">
        <w:t>, which provides</w:t>
      </w:r>
      <w:r w:rsidR="002F504E">
        <w:t xml:space="preserve"> protection from unfair treatment and discrimination in the wo</w:t>
      </w:r>
      <w:r w:rsidR="00E52F11">
        <w:t>rkplace and in wider society</w:t>
      </w:r>
      <w:r>
        <w:t>.</w:t>
      </w:r>
    </w:p>
    <w:p w14:paraId="2EF59FF5" w14:textId="77777777" w:rsidR="00264ADD" w:rsidRDefault="002F504E" w:rsidP="00EC6F9F">
      <w:pPr>
        <w:pStyle w:val="ListParagraph"/>
        <w:numPr>
          <w:ilvl w:val="0"/>
          <w:numId w:val="3"/>
        </w:numPr>
      </w:pPr>
      <w:r>
        <w:t xml:space="preserve">The </w:t>
      </w:r>
      <w:r w:rsidR="0063386E">
        <w:t xml:space="preserve">EA </w:t>
      </w:r>
      <w:r w:rsidR="00BA22A7">
        <w:t>protects individuals against discrimination on the basis of nine</w:t>
      </w:r>
      <w:r w:rsidR="00F02E6A">
        <w:t xml:space="preserve"> protected characteristics: age, disability, gender reassignment, marriage and civil partnership, pregnancy and maternity, race, religion or belief, sex, and sexual orientation.</w:t>
      </w:r>
    </w:p>
    <w:p w14:paraId="2EF59FF6" w14:textId="2B2EAC2F" w:rsidR="006F557D" w:rsidRDefault="006F557D" w:rsidP="00EC6F9F">
      <w:pPr>
        <w:pStyle w:val="ListParagraph"/>
        <w:numPr>
          <w:ilvl w:val="0"/>
          <w:numId w:val="3"/>
        </w:numPr>
      </w:pPr>
      <w:r>
        <w:t xml:space="preserve">All staff have a responsibility to ensure that their conduct is in accordance with the University’s </w:t>
      </w:r>
      <w:hyperlink r:id="rId25" w:history="1">
        <w:r w:rsidR="002500AE">
          <w:rPr>
            <w:rStyle w:val="Hyperlink"/>
          </w:rPr>
          <w:t>Equality and Diversity Policy</w:t>
        </w:r>
      </w:hyperlink>
      <w:r w:rsidR="005B3881">
        <w:t>.</w:t>
      </w:r>
    </w:p>
    <w:p w14:paraId="2EF59FF7" w14:textId="77777777" w:rsidR="000D4FD3" w:rsidRPr="007747B6" w:rsidRDefault="000D4FD3" w:rsidP="004A1BD3">
      <w:pPr>
        <w:rPr>
          <w:i/>
        </w:rPr>
      </w:pPr>
      <w:r w:rsidRPr="007747B6">
        <w:rPr>
          <w:i/>
        </w:rPr>
        <w:t>Where can I find out more?</w:t>
      </w:r>
    </w:p>
    <w:p w14:paraId="2EF59FF8" w14:textId="77777777" w:rsidR="00C90EEF" w:rsidRDefault="007747B6" w:rsidP="007747B6">
      <w:pPr>
        <w:pStyle w:val="ListParagraph"/>
        <w:numPr>
          <w:ilvl w:val="0"/>
          <w:numId w:val="4"/>
        </w:numPr>
      </w:pPr>
      <w:r>
        <w:t xml:space="preserve">Information and guidance can be found at: </w:t>
      </w:r>
      <w:hyperlink r:id="rId26" w:history="1">
        <w:r w:rsidR="00C90EEF" w:rsidRPr="00617128">
          <w:rPr>
            <w:rStyle w:val="Hyperlink"/>
          </w:rPr>
          <w:t>https://</w:t>
        </w:r>
        <w:proofErr w:type="spellStart"/>
        <w:r w:rsidR="00C90EEF" w:rsidRPr="00617128">
          <w:rPr>
            <w:rStyle w:val="Hyperlink"/>
          </w:rPr>
          <w:t>www.gov.uk</w:t>
        </w:r>
        <w:proofErr w:type="spellEnd"/>
        <w:r w:rsidR="00C90EEF" w:rsidRPr="00617128">
          <w:rPr>
            <w:rStyle w:val="Hyperlink"/>
          </w:rPr>
          <w:t>/equality-act-2010-guidance</w:t>
        </w:r>
      </w:hyperlink>
      <w:r>
        <w:t>.</w:t>
      </w:r>
    </w:p>
    <w:p w14:paraId="2EF59FF9" w14:textId="17D62762" w:rsidR="007747B6" w:rsidRDefault="00584423" w:rsidP="00584423">
      <w:pPr>
        <w:pStyle w:val="ListParagraph"/>
        <w:numPr>
          <w:ilvl w:val="0"/>
          <w:numId w:val="4"/>
        </w:numPr>
      </w:pPr>
      <w:r>
        <w:t xml:space="preserve">See the University’s </w:t>
      </w:r>
      <w:r w:rsidR="00D873F7">
        <w:t xml:space="preserve">Equality </w:t>
      </w:r>
      <w:r w:rsidR="00D873F7">
        <w:t xml:space="preserve">and </w:t>
      </w:r>
      <w:r>
        <w:t>Diversity Policy under the People section of Policies and Procedures on the Staff Intranet:</w:t>
      </w:r>
      <w:r w:rsidRPr="00584423">
        <w:t xml:space="preserve"> </w:t>
      </w:r>
      <w:hyperlink r:id="rId27" w:history="1">
        <w:r w:rsidRPr="00222A47">
          <w:rPr>
            <w:rStyle w:val="Hyperlink"/>
          </w:rPr>
          <w:t>https://staffintranet.bournemouth.ac.uk/aboutbu/policiesprocedures/</w:t>
        </w:r>
      </w:hyperlink>
      <w:r w:rsidR="006E405D" w:rsidRPr="007E7AF0">
        <w:rPr>
          <w:rStyle w:val="Hyperlink"/>
          <w:color w:val="000000" w:themeColor="text1"/>
          <w:u w:val="none"/>
        </w:rPr>
        <w:t>.</w:t>
      </w:r>
    </w:p>
    <w:p w14:paraId="2EF59FFA" w14:textId="77777777" w:rsidR="00584423" w:rsidRDefault="00584423" w:rsidP="00584423">
      <w:pPr>
        <w:pStyle w:val="ListParagraph"/>
      </w:pPr>
    </w:p>
    <w:p w14:paraId="2EF59FFB" w14:textId="77777777" w:rsidR="006C4B0E" w:rsidRPr="007747B6" w:rsidRDefault="007A5827" w:rsidP="004A1BD3">
      <w:pPr>
        <w:rPr>
          <w:b/>
        </w:rPr>
      </w:pPr>
      <w:r>
        <w:rPr>
          <w:b/>
        </w:rPr>
        <w:t>Health and Safety</w:t>
      </w:r>
      <w:r w:rsidR="00584423">
        <w:rPr>
          <w:b/>
        </w:rPr>
        <w:t xml:space="preserve"> legislation</w:t>
      </w:r>
    </w:p>
    <w:p w14:paraId="2EF59FFC" w14:textId="77777777" w:rsidR="007747B6" w:rsidRPr="006D1BC7" w:rsidRDefault="007747B6" w:rsidP="004A1BD3">
      <w:pPr>
        <w:rPr>
          <w:i/>
        </w:rPr>
      </w:pPr>
      <w:r w:rsidRPr="006D1BC7">
        <w:rPr>
          <w:i/>
        </w:rPr>
        <w:t>Key points</w:t>
      </w:r>
    </w:p>
    <w:p w14:paraId="2EF59FFD" w14:textId="77777777" w:rsidR="00AF3209" w:rsidRDefault="00E14EF3" w:rsidP="006C54C9">
      <w:pPr>
        <w:pStyle w:val="ListParagraph"/>
        <w:numPr>
          <w:ilvl w:val="0"/>
          <w:numId w:val="17"/>
        </w:numPr>
        <w:spacing w:after="120"/>
        <w:jc w:val="both"/>
        <w:rPr>
          <w:lang w:val="en-US"/>
        </w:rPr>
      </w:pPr>
      <w:r>
        <w:rPr>
          <w:lang w:val="en-US"/>
        </w:rPr>
        <w:t>There are various statutes and regulations covering health and safety at work. The Health and Safety at Work Etc. Act 1974 is the primary piece of legislation covering occupational health and safety in Great Britain.</w:t>
      </w:r>
    </w:p>
    <w:p w14:paraId="2EF59FFE" w14:textId="533EA4B1" w:rsidR="00AF3209" w:rsidRDefault="006C54C9" w:rsidP="006C54C9">
      <w:pPr>
        <w:pStyle w:val="ListParagraph"/>
        <w:numPr>
          <w:ilvl w:val="0"/>
          <w:numId w:val="17"/>
        </w:numPr>
        <w:spacing w:after="120"/>
        <w:jc w:val="both"/>
        <w:rPr>
          <w:lang w:val="en-US"/>
        </w:rPr>
      </w:pPr>
      <w:r w:rsidRPr="00AF3209">
        <w:rPr>
          <w:lang w:val="en-US"/>
        </w:rPr>
        <w:t xml:space="preserve">In accordance with the University’s </w:t>
      </w:r>
      <w:hyperlink r:id="rId28" w:history="1">
        <w:r w:rsidRPr="007C0DF0">
          <w:rPr>
            <w:rStyle w:val="Hyperlink"/>
            <w:lang w:val="en-US"/>
          </w:rPr>
          <w:t>Code of Good Research Practice</w:t>
        </w:r>
      </w:hyperlink>
      <w:r w:rsidRPr="00AF3209">
        <w:rPr>
          <w:lang w:val="en-US"/>
        </w:rPr>
        <w:t>, all research undertaken must fulfil</w:t>
      </w:r>
      <w:r w:rsidR="00D675DF">
        <w:rPr>
          <w:lang w:val="en-US"/>
        </w:rPr>
        <w:t>l</w:t>
      </w:r>
      <w:r w:rsidRPr="00AF3209">
        <w:rPr>
          <w:lang w:val="en-US"/>
        </w:rPr>
        <w:t xml:space="preserve"> the requirements of health and safety legislation and good practice. Researchers will face a range of potential risks to their and others’ safety when conducting certain types of research, for example social research in a conflict zone</w:t>
      </w:r>
      <w:r w:rsidR="006D1BC7">
        <w:rPr>
          <w:lang w:val="en-US"/>
        </w:rPr>
        <w:t xml:space="preserve"> or research using potentially harmful equipment or substances</w:t>
      </w:r>
      <w:r w:rsidRPr="00AF3209">
        <w:rPr>
          <w:lang w:val="en-US"/>
        </w:rPr>
        <w:t xml:space="preserve">. </w:t>
      </w:r>
    </w:p>
    <w:p w14:paraId="2EF59FFF" w14:textId="77777777" w:rsidR="00AF3209" w:rsidRDefault="006C54C9" w:rsidP="006C54C9">
      <w:pPr>
        <w:pStyle w:val="ListParagraph"/>
        <w:numPr>
          <w:ilvl w:val="0"/>
          <w:numId w:val="17"/>
        </w:numPr>
        <w:spacing w:after="120"/>
        <w:jc w:val="both"/>
        <w:rPr>
          <w:lang w:val="en-US"/>
        </w:rPr>
      </w:pPr>
      <w:r w:rsidRPr="00AF3209">
        <w:rPr>
          <w:lang w:val="en-US"/>
        </w:rPr>
        <w:t xml:space="preserve">Appropriate and thorough </w:t>
      </w:r>
      <w:hyperlink r:id="rId29" w:history="1">
        <w:r w:rsidRPr="00575B5C">
          <w:rPr>
            <w:rStyle w:val="Hyperlink"/>
            <w:lang w:val="en-US"/>
          </w:rPr>
          <w:t>risk assessment</w:t>
        </w:r>
      </w:hyperlink>
      <w:r w:rsidRPr="00AF3209">
        <w:rPr>
          <w:lang w:val="en-US"/>
        </w:rPr>
        <w:t xml:space="preserve"> must be undertaken when research is to be conducted in potentially hazardous conditions, involves potentially harmful material or might cause harm to the environment. Further information can be found in the University’s </w:t>
      </w:r>
      <w:hyperlink r:id="rId30" w:history="1">
        <w:r w:rsidRPr="00C755B5">
          <w:rPr>
            <w:rStyle w:val="Hyperlink"/>
            <w:lang w:val="en-US"/>
          </w:rPr>
          <w:t>H</w:t>
        </w:r>
        <w:r w:rsidR="004462F1" w:rsidRPr="00C755B5">
          <w:rPr>
            <w:rStyle w:val="Hyperlink"/>
            <w:lang w:val="en-US"/>
          </w:rPr>
          <w:t>ealth &amp; Safety in Research</w:t>
        </w:r>
      </w:hyperlink>
      <w:r w:rsidR="004462F1">
        <w:rPr>
          <w:lang w:val="en-US"/>
        </w:rPr>
        <w:t xml:space="preserve"> </w:t>
      </w:r>
      <w:r w:rsidRPr="00AF3209">
        <w:rPr>
          <w:lang w:val="en-US"/>
        </w:rPr>
        <w:t>policy.</w:t>
      </w:r>
    </w:p>
    <w:p w14:paraId="2EF5A000" w14:textId="071B337A" w:rsidR="00E14EF3" w:rsidRDefault="00E14EF3" w:rsidP="00E14EF3">
      <w:pPr>
        <w:pStyle w:val="ListParagraph"/>
        <w:numPr>
          <w:ilvl w:val="0"/>
          <w:numId w:val="17"/>
        </w:numPr>
        <w:spacing w:after="120"/>
        <w:jc w:val="both"/>
        <w:rPr>
          <w:lang w:val="en-US"/>
        </w:rPr>
      </w:pPr>
      <w:r>
        <w:rPr>
          <w:lang w:val="en-US"/>
        </w:rPr>
        <w:t xml:space="preserve">Those carrying out research activities, </w:t>
      </w:r>
      <w:r w:rsidRPr="00E14EF3">
        <w:rPr>
          <w:lang w:val="en-US"/>
        </w:rPr>
        <w:t xml:space="preserve">in </w:t>
      </w:r>
      <w:r>
        <w:rPr>
          <w:lang w:val="en-US"/>
        </w:rPr>
        <w:t>common with all University staff,</w:t>
      </w:r>
      <w:r w:rsidRPr="00E14EF3">
        <w:rPr>
          <w:lang w:val="en-US"/>
        </w:rPr>
        <w:t xml:space="preserve"> must follow all relevant parts of the University’s </w:t>
      </w:r>
      <w:r w:rsidR="00BE1A33">
        <w:rPr>
          <w:lang w:val="en-US"/>
        </w:rPr>
        <w:t>h</w:t>
      </w:r>
      <w:r w:rsidRPr="00E14EF3">
        <w:rPr>
          <w:lang w:val="en-US"/>
        </w:rPr>
        <w:t xml:space="preserve">ealth and </w:t>
      </w:r>
      <w:r w:rsidR="00BE1A33">
        <w:rPr>
          <w:lang w:val="en-US"/>
        </w:rPr>
        <w:t>s</w:t>
      </w:r>
      <w:r w:rsidRPr="00E14EF3">
        <w:rPr>
          <w:lang w:val="en-US"/>
        </w:rPr>
        <w:t xml:space="preserve">afety </w:t>
      </w:r>
      <w:r w:rsidR="00BE1A33">
        <w:rPr>
          <w:lang w:val="en-US"/>
        </w:rPr>
        <w:t>p</w:t>
      </w:r>
      <w:r w:rsidRPr="00E14EF3">
        <w:rPr>
          <w:lang w:val="en-US"/>
        </w:rPr>
        <w:t>olic</w:t>
      </w:r>
      <w:r w:rsidR="00BE1A33">
        <w:rPr>
          <w:lang w:val="en-US"/>
        </w:rPr>
        <w:t>ies</w:t>
      </w:r>
      <w:r w:rsidRPr="00E14EF3">
        <w:rPr>
          <w:lang w:val="en-US"/>
        </w:rPr>
        <w:t xml:space="preserve">. </w:t>
      </w:r>
    </w:p>
    <w:p w14:paraId="2EF5A001" w14:textId="77777777" w:rsidR="007747B6" w:rsidRPr="00716093" w:rsidRDefault="007747B6" w:rsidP="007747B6">
      <w:pPr>
        <w:rPr>
          <w:i/>
        </w:rPr>
      </w:pPr>
      <w:r w:rsidRPr="00716093">
        <w:rPr>
          <w:i/>
        </w:rPr>
        <w:t>Where can I find out more?</w:t>
      </w:r>
    </w:p>
    <w:p w14:paraId="2EF5A002" w14:textId="77777777" w:rsidR="003E0FB8" w:rsidRDefault="00486AD6" w:rsidP="007747B6">
      <w:pPr>
        <w:pStyle w:val="ListParagraph"/>
        <w:numPr>
          <w:ilvl w:val="0"/>
          <w:numId w:val="6"/>
        </w:numPr>
      </w:pPr>
      <w:r>
        <w:t>T</w:t>
      </w:r>
      <w:r w:rsidR="003E0FB8">
        <w:t>he University</w:t>
      </w:r>
      <w:r>
        <w:t xml:space="preserve"> has a range of relevant policies which can be found in the ‘People’ section of Policies and Procedures on the staff intranet:</w:t>
      </w:r>
    </w:p>
    <w:p w14:paraId="2EF5A003" w14:textId="77777777" w:rsidR="00486AD6" w:rsidRDefault="00BE1A33" w:rsidP="00486AD6">
      <w:pPr>
        <w:pStyle w:val="ListParagraph"/>
      </w:pPr>
      <w:hyperlink r:id="rId31" w:history="1">
        <w:r w:rsidR="00486AD6" w:rsidRPr="00222A47">
          <w:rPr>
            <w:rStyle w:val="Hyperlink"/>
          </w:rPr>
          <w:t>https://staffintranet.bournemouth.ac.uk/aboutbu/policiesprocedures/</w:t>
        </w:r>
      </w:hyperlink>
      <w:r w:rsidR="006E405D" w:rsidRPr="007E7AF0">
        <w:rPr>
          <w:rStyle w:val="Hyperlink"/>
          <w:color w:val="000000" w:themeColor="text1"/>
          <w:u w:val="none"/>
        </w:rPr>
        <w:t>.</w:t>
      </w:r>
    </w:p>
    <w:p w14:paraId="2EF5A004" w14:textId="77777777" w:rsidR="00486AD6" w:rsidRDefault="00486AD6" w:rsidP="00486AD6">
      <w:pPr>
        <w:pStyle w:val="ListParagraph"/>
      </w:pPr>
      <w:r>
        <w:t>These include:</w:t>
      </w:r>
    </w:p>
    <w:p w14:paraId="2EF5A005" w14:textId="77777777" w:rsidR="00486AD6" w:rsidRDefault="00486AD6" w:rsidP="00486AD6">
      <w:pPr>
        <w:pStyle w:val="ListParagraph"/>
        <w:numPr>
          <w:ilvl w:val="0"/>
          <w:numId w:val="18"/>
        </w:numPr>
      </w:pPr>
      <w:r>
        <w:lastRenderedPageBreak/>
        <w:t>COSHH Assessment Guidance on Hazardous Substances</w:t>
      </w:r>
    </w:p>
    <w:p w14:paraId="2EF5A006" w14:textId="77777777" w:rsidR="00486AD6" w:rsidRDefault="00486AD6" w:rsidP="00486AD6">
      <w:pPr>
        <w:pStyle w:val="ListParagraph"/>
        <w:numPr>
          <w:ilvl w:val="0"/>
          <w:numId w:val="18"/>
        </w:numPr>
      </w:pPr>
      <w:r>
        <w:t>General Risk Assessment Guidance</w:t>
      </w:r>
    </w:p>
    <w:p w14:paraId="2EF5A007" w14:textId="77777777" w:rsidR="00486AD6" w:rsidRDefault="00486AD6" w:rsidP="00486AD6">
      <w:pPr>
        <w:pStyle w:val="ListParagraph"/>
        <w:numPr>
          <w:ilvl w:val="0"/>
          <w:numId w:val="18"/>
        </w:numPr>
      </w:pPr>
      <w:r>
        <w:t>Health &amp; Safety in Research</w:t>
      </w:r>
    </w:p>
    <w:p w14:paraId="2EF5A008" w14:textId="77777777" w:rsidR="00486AD6" w:rsidRDefault="00486AD6" w:rsidP="00486AD6">
      <w:pPr>
        <w:pStyle w:val="ListParagraph"/>
        <w:numPr>
          <w:ilvl w:val="0"/>
          <w:numId w:val="18"/>
        </w:numPr>
      </w:pPr>
      <w:r>
        <w:t>Hazardous Substances Policy</w:t>
      </w:r>
    </w:p>
    <w:p w14:paraId="2EF5A009" w14:textId="77777777" w:rsidR="00486AD6" w:rsidRDefault="00486AD6" w:rsidP="00486AD6">
      <w:pPr>
        <w:pStyle w:val="ListParagraph"/>
        <w:numPr>
          <w:ilvl w:val="0"/>
          <w:numId w:val="18"/>
        </w:numPr>
      </w:pPr>
      <w:r>
        <w:t>Risk Assessments Policy</w:t>
      </w:r>
    </w:p>
    <w:p w14:paraId="2EF5A00A" w14:textId="0526DCF1" w:rsidR="004462F1" w:rsidRDefault="004462F1" w:rsidP="007747B6">
      <w:pPr>
        <w:pStyle w:val="ListParagraph"/>
        <w:numPr>
          <w:ilvl w:val="0"/>
          <w:numId w:val="6"/>
        </w:numPr>
      </w:pPr>
      <w:r>
        <w:t xml:space="preserve">See also the University’s </w:t>
      </w:r>
      <w:hyperlink r:id="rId32" w:history="1">
        <w:r w:rsidR="002953DE" w:rsidRPr="00063EF3">
          <w:rPr>
            <w:rStyle w:val="Hyperlink"/>
          </w:rPr>
          <w:t>Code of Good Research Practice</w:t>
        </w:r>
      </w:hyperlink>
      <w:r w:rsidR="002953DE">
        <w:t>.</w:t>
      </w:r>
    </w:p>
    <w:p w14:paraId="2EF5A00B" w14:textId="77777777" w:rsidR="007747B6" w:rsidRPr="00C24F6D" w:rsidRDefault="00486AD6" w:rsidP="007747B6">
      <w:pPr>
        <w:pStyle w:val="ListParagraph"/>
        <w:numPr>
          <w:ilvl w:val="0"/>
          <w:numId w:val="6"/>
        </w:numPr>
        <w:rPr>
          <w:rStyle w:val="Hyperlink"/>
          <w:color w:val="auto"/>
          <w:u w:val="none"/>
        </w:rPr>
      </w:pPr>
      <w:r>
        <w:t>Further information about the Health and Safety at Work Etc. Act</w:t>
      </w:r>
      <w:r w:rsidR="007747B6">
        <w:t xml:space="preserve"> can be found at: </w:t>
      </w:r>
      <w:hyperlink r:id="rId33" w:history="1">
        <w:r w:rsidR="007747B6" w:rsidRPr="00617128">
          <w:rPr>
            <w:rStyle w:val="Hyperlink"/>
          </w:rPr>
          <w:t>http://</w:t>
        </w:r>
        <w:proofErr w:type="spellStart"/>
        <w:r w:rsidR="007747B6" w:rsidRPr="00617128">
          <w:rPr>
            <w:rStyle w:val="Hyperlink"/>
          </w:rPr>
          <w:t>www.hse.gov.uk</w:t>
        </w:r>
        <w:proofErr w:type="spellEnd"/>
        <w:r w:rsidR="007747B6" w:rsidRPr="00617128">
          <w:rPr>
            <w:rStyle w:val="Hyperlink"/>
          </w:rPr>
          <w:t>/legislation/</w:t>
        </w:r>
        <w:proofErr w:type="spellStart"/>
        <w:r w:rsidR="007747B6" w:rsidRPr="00617128">
          <w:rPr>
            <w:rStyle w:val="Hyperlink"/>
          </w:rPr>
          <w:t>hswa.htm</w:t>
        </w:r>
        <w:proofErr w:type="spellEnd"/>
      </w:hyperlink>
      <w:r w:rsidR="006E405D" w:rsidRPr="007E7AF0">
        <w:rPr>
          <w:rStyle w:val="Hyperlink"/>
          <w:color w:val="000000" w:themeColor="text1"/>
          <w:u w:val="none"/>
        </w:rPr>
        <w:t>.</w:t>
      </w:r>
    </w:p>
    <w:p w14:paraId="2EF5A00C" w14:textId="77777777" w:rsidR="00C24F6D" w:rsidRDefault="00C24F6D" w:rsidP="00A1728F">
      <w:pPr>
        <w:pStyle w:val="ListParagraph"/>
        <w:numPr>
          <w:ilvl w:val="0"/>
          <w:numId w:val="6"/>
        </w:numPr>
      </w:pPr>
      <w:r>
        <w:t>A guide to Health and Safety regulation can be found at</w:t>
      </w:r>
      <w:r w:rsidR="00A1728F">
        <w:t xml:space="preserve">: </w:t>
      </w:r>
      <w:hyperlink r:id="rId34" w:history="1">
        <w:r w:rsidRPr="00222A47">
          <w:rPr>
            <w:rStyle w:val="Hyperlink"/>
          </w:rPr>
          <w:t>http://</w:t>
        </w:r>
        <w:proofErr w:type="spellStart"/>
        <w:r w:rsidRPr="00222A47">
          <w:rPr>
            <w:rStyle w:val="Hyperlink"/>
          </w:rPr>
          <w:t>www.hse.gov.uk</w:t>
        </w:r>
        <w:proofErr w:type="spellEnd"/>
        <w:r w:rsidRPr="00222A47">
          <w:rPr>
            <w:rStyle w:val="Hyperlink"/>
          </w:rPr>
          <w:t>/</w:t>
        </w:r>
        <w:proofErr w:type="spellStart"/>
        <w:r w:rsidRPr="00222A47">
          <w:rPr>
            <w:rStyle w:val="Hyperlink"/>
          </w:rPr>
          <w:t>pubns</w:t>
        </w:r>
        <w:proofErr w:type="spellEnd"/>
        <w:r w:rsidRPr="00222A47">
          <w:rPr>
            <w:rStyle w:val="Hyperlink"/>
          </w:rPr>
          <w:t>/hsc13.pdf</w:t>
        </w:r>
      </w:hyperlink>
      <w:r w:rsidR="006E405D" w:rsidRPr="007E7AF0">
        <w:rPr>
          <w:rStyle w:val="Hyperlink"/>
          <w:color w:val="000000" w:themeColor="text1"/>
          <w:u w:val="none"/>
        </w:rPr>
        <w:t>.</w:t>
      </w:r>
    </w:p>
    <w:p w14:paraId="2EF5A00D" w14:textId="77777777" w:rsidR="007747B6" w:rsidRDefault="007747B6" w:rsidP="00E476EE">
      <w:pPr>
        <w:ind w:left="360"/>
      </w:pPr>
    </w:p>
    <w:p w14:paraId="2EF5A00E" w14:textId="77777777" w:rsidR="006C4B0E" w:rsidRPr="00FE0300" w:rsidRDefault="006C4B0E" w:rsidP="004A1BD3">
      <w:pPr>
        <w:rPr>
          <w:b/>
        </w:rPr>
      </w:pPr>
      <w:r w:rsidRPr="00FE0300">
        <w:rPr>
          <w:b/>
        </w:rPr>
        <w:t>Human Tissue Act 2004</w:t>
      </w:r>
    </w:p>
    <w:p w14:paraId="2EF5A00F" w14:textId="77777777" w:rsidR="007747B6" w:rsidRPr="00E52F11" w:rsidRDefault="007747B6" w:rsidP="004A1BD3">
      <w:pPr>
        <w:rPr>
          <w:i/>
        </w:rPr>
      </w:pPr>
      <w:r w:rsidRPr="00E52F11">
        <w:rPr>
          <w:i/>
        </w:rPr>
        <w:t>Key points</w:t>
      </w:r>
    </w:p>
    <w:p w14:paraId="2EF5A010" w14:textId="77777777" w:rsidR="001F210C" w:rsidRPr="001F210C" w:rsidRDefault="00F3423A" w:rsidP="001F210C">
      <w:pPr>
        <w:pStyle w:val="ListParagraph"/>
        <w:numPr>
          <w:ilvl w:val="0"/>
          <w:numId w:val="6"/>
        </w:numPr>
      </w:pPr>
      <w:r>
        <w:rPr>
          <w:rFonts w:cs="Arial"/>
          <w:color w:val="333333"/>
          <w:shd w:val="clear" w:color="auto" w:fill="FFFFFF"/>
        </w:rPr>
        <w:t xml:space="preserve">The Human Tissue Act </w:t>
      </w:r>
      <w:r w:rsidR="005E201E">
        <w:rPr>
          <w:rFonts w:cs="Arial"/>
          <w:color w:val="333333"/>
          <w:shd w:val="clear" w:color="auto" w:fill="FFFFFF"/>
        </w:rPr>
        <w:t xml:space="preserve">(HT Act) </w:t>
      </w:r>
      <w:r>
        <w:rPr>
          <w:rFonts w:cs="Arial"/>
          <w:color w:val="333333"/>
          <w:shd w:val="clear" w:color="auto" w:fill="FFFFFF"/>
        </w:rPr>
        <w:t>provides a</w:t>
      </w:r>
      <w:r w:rsidR="00FE0300" w:rsidRPr="007D2C71">
        <w:rPr>
          <w:rFonts w:cs="Arial"/>
          <w:color w:val="333333"/>
          <w:shd w:val="clear" w:color="auto" w:fill="FFFFFF"/>
        </w:rPr>
        <w:t xml:space="preserve"> legislative framework for regulating body donation and the removal, storage, and use of human organs and tissue. </w:t>
      </w:r>
      <w:r w:rsidR="005B3881">
        <w:rPr>
          <w:rFonts w:cs="Arial"/>
          <w:color w:val="333333"/>
          <w:shd w:val="clear" w:color="auto" w:fill="FFFFFF"/>
        </w:rPr>
        <w:t>Human tissue is defined as material that has come from a human body and consists of, or includes, human cells.</w:t>
      </w:r>
    </w:p>
    <w:p w14:paraId="2EF5A011" w14:textId="08C7B7F5" w:rsidR="00D3504E" w:rsidRPr="00D3504E" w:rsidRDefault="00ED72C6" w:rsidP="00722C59">
      <w:pPr>
        <w:pStyle w:val="ListParagraph"/>
        <w:numPr>
          <w:ilvl w:val="0"/>
          <w:numId w:val="6"/>
        </w:numPr>
      </w:pPr>
      <w:r>
        <w:rPr>
          <w:rStyle w:val="Strong"/>
          <w:rFonts w:cs="Arial"/>
          <w:b w:val="0"/>
          <w:color w:val="333333"/>
          <w:shd w:val="clear" w:color="auto" w:fill="FFFFFF"/>
        </w:rPr>
        <w:t>Obtaining informed consent</w:t>
      </w:r>
      <w:r w:rsidR="00FE0300" w:rsidRPr="007D2C71">
        <w:rPr>
          <w:rStyle w:val="apple-converted-space"/>
          <w:rFonts w:cs="Arial"/>
          <w:color w:val="333333"/>
          <w:shd w:val="clear" w:color="auto" w:fill="FFFFFF"/>
        </w:rPr>
        <w:t> </w:t>
      </w:r>
      <w:r>
        <w:rPr>
          <w:rFonts w:cs="Arial"/>
          <w:color w:val="333333"/>
          <w:shd w:val="clear" w:color="auto" w:fill="FFFFFF"/>
        </w:rPr>
        <w:t>is now the fundamental requirement</w:t>
      </w:r>
      <w:r w:rsidR="00FE0300" w:rsidRPr="007D2C71">
        <w:rPr>
          <w:rFonts w:cs="Arial"/>
          <w:color w:val="333333"/>
          <w:shd w:val="clear" w:color="auto" w:fill="FFFFFF"/>
        </w:rPr>
        <w:t xml:space="preserve"> underpinning the lawful removal, storage and use of human</w:t>
      </w:r>
      <w:r w:rsidR="005B4A12">
        <w:rPr>
          <w:rFonts w:cs="Arial"/>
          <w:color w:val="333333"/>
          <w:shd w:val="clear" w:color="auto" w:fill="FFFFFF"/>
        </w:rPr>
        <w:t xml:space="preserve"> organs and tissue</w:t>
      </w:r>
      <w:r w:rsidR="00FE0300" w:rsidRPr="007D2C71">
        <w:rPr>
          <w:rFonts w:cs="Arial"/>
          <w:color w:val="333333"/>
          <w:shd w:val="clear" w:color="auto" w:fill="FFFFFF"/>
        </w:rPr>
        <w:t xml:space="preserve">. </w:t>
      </w:r>
    </w:p>
    <w:p w14:paraId="2EF5A012" w14:textId="70E8E0AE" w:rsidR="001F210C" w:rsidRPr="001F210C" w:rsidRDefault="00FE0300" w:rsidP="001F210C">
      <w:pPr>
        <w:pStyle w:val="ListParagraph"/>
        <w:numPr>
          <w:ilvl w:val="0"/>
          <w:numId w:val="6"/>
        </w:numPr>
      </w:pPr>
      <w:r w:rsidRPr="007D2C71">
        <w:rPr>
          <w:rFonts w:cs="Arial"/>
          <w:color w:val="333333"/>
          <w:shd w:val="clear" w:color="auto" w:fill="FFFFFF"/>
        </w:rPr>
        <w:t xml:space="preserve">The </w:t>
      </w:r>
      <w:r w:rsidR="005E201E">
        <w:rPr>
          <w:rFonts w:cs="Arial"/>
          <w:color w:val="333333"/>
          <w:shd w:val="clear" w:color="auto" w:fill="FFFFFF"/>
        </w:rPr>
        <w:t xml:space="preserve">HT </w:t>
      </w:r>
      <w:r w:rsidRPr="007D2C71">
        <w:rPr>
          <w:rFonts w:cs="Arial"/>
          <w:color w:val="333333"/>
          <w:shd w:val="clear" w:color="auto" w:fill="FFFFFF"/>
        </w:rPr>
        <w:t xml:space="preserve">Act </w:t>
      </w:r>
      <w:r w:rsidR="00674DE7">
        <w:rPr>
          <w:rFonts w:cs="Arial"/>
          <w:color w:val="333333"/>
          <w:shd w:val="clear" w:color="auto" w:fill="FFFFFF"/>
        </w:rPr>
        <w:t>established</w:t>
      </w:r>
      <w:r w:rsidRPr="007D2C71">
        <w:rPr>
          <w:rFonts w:cs="Arial"/>
          <w:color w:val="333333"/>
          <w:shd w:val="clear" w:color="auto" w:fill="FFFFFF"/>
        </w:rPr>
        <w:t xml:space="preserve"> an ove</w:t>
      </w:r>
      <w:r w:rsidR="00691E52">
        <w:rPr>
          <w:rFonts w:cs="Arial"/>
          <w:color w:val="333333"/>
          <w:shd w:val="clear" w:color="auto" w:fill="FFFFFF"/>
        </w:rPr>
        <w:t>rarching Authority, the Human Tissue Authority</w:t>
      </w:r>
      <w:r w:rsidR="005B3881">
        <w:rPr>
          <w:rFonts w:cs="Arial"/>
          <w:color w:val="333333"/>
          <w:shd w:val="clear" w:color="auto" w:fill="FFFFFF"/>
        </w:rPr>
        <w:t xml:space="preserve"> (HTA)</w:t>
      </w:r>
      <w:r w:rsidR="00691E52">
        <w:rPr>
          <w:rFonts w:cs="Arial"/>
          <w:color w:val="333333"/>
          <w:shd w:val="clear" w:color="auto" w:fill="FFFFFF"/>
        </w:rPr>
        <w:t>,</w:t>
      </w:r>
      <w:r w:rsidR="00264ADD">
        <w:rPr>
          <w:rFonts w:cs="Arial"/>
          <w:color w:val="333333"/>
          <w:shd w:val="clear" w:color="auto" w:fill="FFFFFF"/>
        </w:rPr>
        <w:t xml:space="preserve"> to regulate </w:t>
      </w:r>
      <w:r w:rsidRPr="007D2C71">
        <w:rPr>
          <w:rFonts w:cs="Arial"/>
          <w:color w:val="333333"/>
          <w:shd w:val="clear" w:color="auto" w:fill="FFFFFF"/>
        </w:rPr>
        <w:t>relevant activities through a system of licensing and the provision of directions and guidance.</w:t>
      </w:r>
    </w:p>
    <w:p w14:paraId="2EF5A013" w14:textId="77777777" w:rsidR="001F210C" w:rsidRPr="00264ADD" w:rsidRDefault="005B3881" w:rsidP="00744901">
      <w:pPr>
        <w:pStyle w:val="ListParagraph"/>
        <w:numPr>
          <w:ilvl w:val="0"/>
          <w:numId w:val="6"/>
        </w:numPr>
      </w:pPr>
      <w:r>
        <w:rPr>
          <w:rFonts w:cs="Arial"/>
          <w:color w:val="000000"/>
          <w:lang w:eastAsia="en-GB"/>
        </w:rPr>
        <w:t>Researchers using human tissue</w:t>
      </w:r>
      <w:r w:rsidRPr="005B3881">
        <w:rPr>
          <w:rFonts w:cs="Arial"/>
          <w:color w:val="000000"/>
          <w:lang w:eastAsia="en-GB"/>
        </w:rPr>
        <w:t xml:space="preserve"> </w:t>
      </w:r>
      <w:r w:rsidR="001F210C" w:rsidRPr="005B3881">
        <w:rPr>
          <w:rFonts w:cs="Arial"/>
          <w:color w:val="000000"/>
          <w:lang w:eastAsia="en-GB"/>
        </w:rPr>
        <w:t>must consult the guidance given on the HTA webpages and may be required to o</w:t>
      </w:r>
      <w:r w:rsidRPr="005B3881">
        <w:rPr>
          <w:rFonts w:cs="Arial"/>
          <w:color w:val="000000"/>
          <w:lang w:eastAsia="en-GB"/>
        </w:rPr>
        <w:t>btain a licence from the HTA</w:t>
      </w:r>
      <w:r w:rsidR="001F210C" w:rsidRPr="005B3881">
        <w:rPr>
          <w:rFonts w:cs="Arial"/>
          <w:color w:val="000000"/>
          <w:lang w:eastAsia="en-GB"/>
        </w:rPr>
        <w:t xml:space="preserve">. </w:t>
      </w:r>
    </w:p>
    <w:p w14:paraId="2EF5A014" w14:textId="77777777" w:rsidR="007F42CA" w:rsidRPr="00E52F11" w:rsidRDefault="007F42CA" w:rsidP="007F42CA">
      <w:pPr>
        <w:rPr>
          <w:i/>
        </w:rPr>
      </w:pPr>
      <w:r w:rsidRPr="00E52F11">
        <w:rPr>
          <w:i/>
        </w:rPr>
        <w:t>Where can I find out more?</w:t>
      </w:r>
    </w:p>
    <w:p w14:paraId="2EF5A015" w14:textId="77777777" w:rsidR="0059281C" w:rsidRPr="0059281C" w:rsidRDefault="00FE0300" w:rsidP="0059281C">
      <w:pPr>
        <w:pStyle w:val="ListParagraph"/>
        <w:numPr>
          <w:ilvl w:val="0"/>
          <w:numId w:val="7"/>
        </w:numPr>
        <w:rPr>
          <w:rStyle w:val="Hyperlink"/>
          <w:color w:val="auto"/>
          <w:u w:val="none"/>
        </w:rPr>
      </w:pPr>
      <w:r>
        <w:t xml:space="preserve">The Human Tissue Authority’s website contains further information and guidance: </w:t>
      </w:r>
      <w:hyperlink r:id="rId35" w:history="1">
        <w:r w:rsidRPr="00617128">
          <w:rPr>
            <w:rStyle w:val="Hyperlink"/>
          </w:rPr>
          <w:t>https://</w:t>
        </w:r>
        <w:proofErr w:type="spellStart"/>
        <w:r w:rsidRPr="00617128">
          <w:rPr>
            <w:rStyle w:val="Hyperlink"/>
          </w:rPr>
          <w:t>www.hta.gov.uk</w:t>
        </w:r>
        <w:proofErr w:type="spellEnd"/>
        <w:r w:rsidRPr="00617128">
          <w:rPr>
            <w:rStyle w:val="Hyperlink"/>
          </w:rPr>
          <w:t>/guidance-professionals</w:t>
        </w:r>
      </w:hyperlink>
      <w:r w:rsidR="006E405D" w:rsidRPr="007E7AF0">
        <w:rPr>
          <w:rStyle w:val="Hyperlink"/>
          <w:color w:val="000000" w:themeColor="text1"/>
          <w:u w:val="none"/>
        </w:rPr>
        <w:t>.</w:t>
      </w:r>
    </w:p>
    <w:p w14:paraId="2EF5A016" w14:textId="77777777" w:rsidR="0059281C" w:rsidRDefault="0059281C" w:rsidP="0059281C">
      <w:pPr>
        <w:pStyle w:val="ListParagraph"/>
        <w:numPr>
          <w:ilvl w:val="0"/>
          <w:numId w:val="7"/>
        </w:numPr>
      </w:pPr>
      <w:r>
        <w:t xml:space="preserve">Also see guidance from the Medical Research Council: </w:t>
      </w:r>
      <w:hyperlink r:id="rId36" w:history="1">
        <w:r w:rsidRPr="00222A47">
          <w:rPr>
            <w:rStyle w:val="Hyperlink"/>
          </w:rPr>
          <w:t>http://www.mrc.ac.uk/research/facilities/regulatory-support-centre/human-tissue/</w:t>
        </w:r>
      </w:hyperlink>
      <w:r w:rsidR="006E405D" w:rsidRPr="007E7AF0">
        <w:rPr>
          <w:rStyle w:val="Hyperlink"/>
          <w:color w:val="000000" w:themeColor="text1"/>
          <w:u w:val="none"/>
        </w:rPr>
        <w:t>.</w:t>
      </w:r>
    </w:p>
    <w:p w14:paraId="2EF5A017" w14:textId="77777777" w:rsidR="003313BC" w:rsidRDefault="003313BC" w:rsidP="004A1BD3">
      <w:pPr>
        <w:rPr>
          <w:b/>
        </w:rPr>
      </w:pPr>
    </w:p>
    <w:p w14:paraId="2EF5A018" w14:textId="77777777" w:rsidR="006C4B0E" w:rsidRPr="00D3504E" w:rsidRDefault="006C4B0E" w:rsidP="004A1BD3">
      <w:pPr>
        <w:rPr>
          <w:b/>
        </w:rPr>
      </w:pPr>
      <w:r w:rsidRPr="00D3504E">
        <w:rPr>
          <w:b/>
        </w:rPr>
        <w:t>I</w:t>
      </w:r>
      <w:r w:rsidR="002953DE">
        <w:rPr>
          <w:b/>
        </w:rPr>
        <w:t xml:space="preserve">ntellectual </w:t>
      </w:r>
      <w:r w:rsidR="00B15BC1">
        <w:rPr>
          <w:b/>
        </w:rPr>
        <w:t>p</w:t>
      </w:r>
      <w:r w:rsidR="002953DE">
        <w:rPr>
          <w:b/>
        </w:rPr>
        <w:t>roperty</w:t>
      </w:r>
    </w:p>
    <w:p w14:paraId="2EF5A019" w14:textId="77777777" w:rsidR="00D3504E" w:rsidRPr="00D3504E" w:rsidRDefault="00D3504E" w:rsidP="004A1BD3">
      <w:pPr>
        <w:rPr>
          <w:i/>
        </w:rPr>
      </w:pPr>
      <w:r w:rsidRPr="00D3504E">
        <w:rPr>
          <w:i/>
        </w:rPr>
        <w:t>Key points</w:t>
      </w:r>
    </w:p>
    <w:p w14:paraId="2EF5A01A" w14:textId="77777777" w:rsidR="00A65F46" w:rsidRDefault="00A65F46" w:rsidP="00D3504E">
      <w:pPr>
        <w:pStyle w:val="ListParagraph"/>
        <w:numPr>
          <w:ilvl w:val="0"/>
          <w:numId w:val="8"/>
        </w:numPr>
      </w:pPr>
      <w:r>
        <w:t xml:space="preserve">Almost all research activity will involve some form of intellectual property. Intellectual property (IP) is the general term for intangible property rights which are a result of intellectual effort and includes: copyright, performance rights, database rights, patents, design rights, </w:t>
      </w:r>
      <w:r w:rsidR="0068286C">
        <w:t xml:space="preserve">registered design rights, </w:t>
      </w:r>
      <w:r>
        <w:t>trademarks, know-how and confidential information.</w:t>
      </w:r>
    </w:p>
    <w:p w14:paraId="2EF5A01B" w14:textId="77777777" w:rsidR="0068286C" w:rsidRDefault="0068286C" w:rsidP="00D3504E">
      <w:pPr>
        <w:pStyle w:val="ListParagraph"/>
        <w:numPr>
          <w:ilvl w:val="0"/>
          <w:numId w:val="8"/>
        </w:numPr>
      </w:pPr>
      <w:r>
        <w:t>Some of the above IP rights</w:t>
      </w:r>
      <w:r w:rsidR="00E95FBC">
        <w:t xml:space="preserve">, such as copyright, </w:t>
      </w:r>
      <w:r w:rsidR="00E95FBC" w:rsidRPr="00644AC4">
        <w:t>ex</w:t>
      </w:r>
      <w:r w:rsidR="006343E2" w:rsidRPr="001C2024">
        <w:t xml:space="preserve">ist </w:t>
      </w:r>
      <w:r w:rsidR="00644AC4" w:rsidRPr="00FF6426">
        <w:t>automatically</w:t>
      </w:r>
      <w:r w:rsidR="00644AC4">
        <w:t xml:space="preserve"> on </w:t>
      </w:r>
      <w:r w:rsidR="00B477E5">
        <w:t>creation</w:t>
      </w:r>
      <w:r w:rsidR="006343E2">
        <w:t xml:space="preserve">; </w:t>
      </w:r>
      <w:r>
        <w:t>others, such as patents and registered design rights</w:t>
      </w:r>
      <w:r w:rsidR="00E95FBC">
        <w:t xml:space="preserve">, </w:t>
      </w:r>
      <w:r w:rsidR="006343E2">
        <w:t xml:space="preserve">must be applied for to obtain </w:t>
      </w:r>
      <w:r w:rsidR="00E95FBC">
        <w:t>protection.</w:t>
      </w:r>
    </w:p>
    <w:p w14:paraId="2EF5A01C" w14:textId="77777777" w:rsidR="00D3504E" w:rsidRDefault="000511FF" w:rsidP="00E95FBC">
      <w:pPr>
        <w:pStyle w:val="ListParagraph"/>
        <w:numPr>
          <w:ilvl w:val="0"/>
          <w:numId w:val="8"/>
        </w:numPr>
      </w:pPr>
      <w:r>
        <w:t xml:space="preserve">It is important that individuals do not infringe third party IP in their work; researchers must not use third party IP rights in research without appropriate permissions and licences from the owner(s) of that IP. Where licences or permissions are granted, they must be in writing </w:t>
      </w:r>
      <w:r>
        <w:lastRenderedPageBreak/>
        <w:t>and should be put in place with assistance from the Legal Services team</w:t>
      </w:r>
      <w:r w:rsidR="00370344">
        <w:t xml:space="preserve"> (</w:t>
      </w:r>
      <w:proofErr w:type="spellStart"/>
      <w:r w:rsidR="00BE1A33">
        <w:fldChar w:fldCharType="begin"/>
      </w:r>
      <w:r w:rsidR="00BE1A33">
        <w:instrText xml:space="preserve"> HYPERLINK "mailto:legalservices@bournemouth.ac.uk" </w:instrText>
      </w:r>
      <w:r w:rsidR="00BE1A33">
        <w:fldChar w:fldCharType="separate"/>
      </w:r>
      <w:r w:rsidR="006E153A" w:rsidRPr="000378BF">
        <w:rPr>
          <w:rStyle w:val="Hyperlink"/>
        </w:rPr>
        <w:t>legalservices@bournemouth.ac.uk</w:t>
      </w:r>
      <w:proofErr w:type="spellEnd"/>
      <w:r w:rsidR="00BE1A33">
        <w:rPr>
          <w:rStyle w:val="Hyperlink"/>
        </w:rPr>
        <w:fldChar w:fldCharType="end"/>
      </w:r>
      <w:r w:rsidR="00370344">
        <w:t>)</w:t>
      </w:r>
      <w:r>
        <w:t>.</w:t>
      </w:r>
    </w:p>
    <w:p w14:paraId="2EF5A01D" w14:textId="77777777" w:rsidR="002953DE" w:rsidRDefault="002953DE" w:rsidP="00E95FBC">
      <w:pPr>
        <w:pStyle w:val="ListParagraph"/>
        <w:numPr>
          <w:ilvl w:val="0"/>
          <w:numId w:val="8"/>
        </w:numPr>
      </w:pPr>
      <w:r>
        <w:t>Researchers must take steps to manage and protect the University’s IP and should seek advice from Legal Services where necessary.</w:t>
      </w:r>
    </w:p>
    <w:p w14:paraId="2EF5A01E" w14:textId="77777777" w:rsidR="00D3504E" w:rsidRPr="00AF3209" w:rsidRDefault="00D3504E" w:rsidP="00D3504E">
      <w:pPr>
        <w:rPr>
          <w:i/>
        </w:rPr>
      </w:pPr>
      <w:r w:rsidRPr="00AF3209">
        <w:rPr>
          <w:i/>
        </w:rPr>
        <w:t>Where can I find out more?</w:t>
      </w:r>
    </w:p>
    <w:p w14:paraId="2EF5A01F" w14:textId="77777777" w:rsidR="00D3504E" w:rsidRDefault="00D3504E" w:rsidP="00E95FBC">
      <w:pPr>
        <w:pStyle w:val="ListParagraph"/>
        <w:numPr>
          <w:ilvl w:val="0"/>
          <w:numId w:val="9"/>
        </w:numPr>
      </w:pPr>
      <w:r>
        <w:t>The Intellectual Property Office website contains useful information:</w:t>
      </w:r>
      <w:r w:rsidR="00E95FBC">
        <w:t xml:space="preserve"> </w:t>
      </w:r>
      <w:hyperlink r:id="rId37" w:history="1">
        <w:r w:rsidR="00F63F4F" w:rsidRPr="00222A47">
          <w:rPr>
            <w:rStyle w:val="Hyperlink"/>
          </w:rPr>
          <w:t>https://</w:t>
        </w:r>
        <w:proofErr w:type="spellStart"/>
        <w:r w:rsidR="00F63F4F" w:rsidRPr="00222A47">
          <w:rPr>
            <w:rStyle w:val="Hyperlink"/>
          </w:rPr>
          <w:t>www.gov.uk</w:t>
        </w:r>
        <w:proofErr w:type="spellEnd"/>
        <w:r w:rsidR="00F63F4F" w:rsidRPr="00222A47">
          <w:rPr>
            <w:rStyle w:val="Hyperlink"/>
          </w:rPr>
          <w:t>/intellectual-property-an-overview</w:t>
        </w:r>
      </w:hyperlink>
      <w:r w:rsidR="006E405D" w:rsidRPr="007E7AF0">
        <w:rPr>
          <w:rStyle w:val="Hyperlink"/>
          <w:color w:val="000000" w:themeColor="text1"/>
          <w:u w:val="none"/>
        </w:rPr>
        <w:t>.</w:t>
      </w:r>
    </w:p>
    <w:p w14:paraId="2EF5A020" w14:textId="77777777" w:rsidR="00F63F4F" w:rsidRPr="002E5CE7" w:rsidRDefault="00F63F4F" w:rsidP="00F63F4F">
      <w:pPr>
        <w:pStyle w:val="ListParagraph"/>
        <w:numPr>
          <w:ilvl w:val="0"/>
          <w:numId w:val="9"/>
        </w:numPr>
        <w:rPr>
          <w:rStyle w:val="Hyperlink"/>
          <w:color w:val="auto"/>
          <w:u w:val="none"/>
        </w:rPr>
      </w:pPr>
      <w:r>
        <w:t xml:space="preserve">The University’s Intellectual Property Policy and Intellectual Property Management Procedures can be found in the Legal section of Policies and Procedures on the Staff Intranet: </w:t>
      </w:r>
      <w:hyperlink r:id="rId38" w:history="1">
        <w:r w:rsidRPr="00222A47">
          <w:rPr>
            <w:rStyle w:val="Hyperlink"/>
          </w:rPr>
          <w:t>https://staffintranet.bournemouth.ac.uk/aboutbu/policiesprocedures/</w:t>
        </w:r>
      </w:hyperlink>
      <w:r w:rsidR="006E405D" w:rsidRPr="007E7AF0">
        <w:rPr>
          <w:rStyle w:val="Hyperlink"/>
          <w:color w:val="000000" w:themeColor="text1"/>
          <w:u w:val="none"/>
        </w:rPr>
        <w:t>.</w:t>
      </w:r>
    </w:p>
    <w:p w14:paraId="0AA85696" w14:textId="77777777" w:rsidR="009A079E" w:rsidRDefault="00E17C57" w:rsidP="009B3D23">
      <w:pPr>
        <w:pStyle w:val="ListParagraph"/>
        <w:numPr>
          <w:ilvl w:val="0"/>
          <w:numId w:val="9"/>
        </w:numPr>
      </w:pPr>
      <w:r>
        <w:t>Legal Services</w:t>
      </w:r>
      <w:r w:rsidR="009A079E">
        <w:t xml:space="preserve"> Quick Guide to Intellectual Property Rights is available at:</w:t>
      </w:r>
    </w:p>
    <w:p w14:paraId="5CA5DCA3" w14:textId="77777777" w:rsidR="009A079E" w:rsidRDefault="00BE1A33" w:rsidP="00435B63">
      <w:pPr>
        <w:pStyle w:val="ListParagraph"/>
      </w:pPr>
      <w:hyperlink r:id="rId39" w:history="1">
        <w:r w:rsidR="009A079E" w:rsidRPr="000E7094">
          <w:rPr>
            <w:rStyle w:val="Hyperlink"/>
          </w:rPr>
          <w:t>https://intranetsp.bournemouth.ac.uk/policy/Quick%20Guide%20to%20Intellectual%20Property%20Rights.docx</w:t>
        </w:r>
      </w:hyperlink>
    </w:p>
    <w:p w14:paraId="2EF5A021" w14:textId="620E30F4" w:rsidR="00E17C57" w:rsidRDefault="009A079E" w:rsidP="00435B63">
      <w:pPr>
        <w:pStyle w:val="ListParagraph"/>
      </w:pPr>
      <w:r>
        <w:t>and our</w:t>
      </w:r>
      <w:r w:rsidR="00E17C57">
        <w:t xml:space="preserve"> Intellectual Property Guidance is available at: </w:t>
      </w:r>
      <w:hyperlink r:id="rId40" w:history="1">
        <w:r w:rsidR="00E17C57" w:rsidRPr="00CA1BED">
          <w:rPr>
            <w:rStyle w:val="Hyperlink"/>
          </w:rPr>
          <w:t>http://intranetsp.bournemouth.ac.uk/policy/Intellectual%20Property%20Guidance.docx</w:t>
        </w:r>
      </w:hyperlink>
      <w:r w:rsidR="00E17C57">
        <w:t xml:space="preserve"> </w:t>
      </w:r>
    </w:p>
    <w:p w14:paraId="2EF5A022" w14:textId="2E73D022" w:rsidR="00D5096B" w:rsidRDefault="00D5096B" w:rsidP="00CE1537">
      <w:pPr>
        <w:pStyle w:val="ListParagraph"/>
        <w:numPr>
          <w:ilvl w:val="0"/>
          <w:numId w:val="9"/>
        </w:numPr>
      </w:pPr>
      <w:r>
        <w:t xml:space="preserve">Legal Services </w:t>
      </w:r>
      <w:r w:rsidR="00CE1537">
        <w:t>Legal Services Quick Guide to</w:t>
      </w:r>
      <w:r w:rsidR="00F25A11" w:rsidRPr="00F25A11">
        <w:t xml:space="preserve"> Contracting for Research and Enterprise</w:t>
      </w:r>
      <w:r w:rsidR="00F25A11">
        <w:t xml:space="preserve"> is available here: </w:t>
      </w:r>
      <w:hyperlink r:id="rId41" w:history="1">
        <w:r w:rsidR="00CE1537" w:rsidRPr="00CA1BED">
          <w:rPr>
            <w:rStyle w:val="Hyperlink"/>
          </w:rPr>
          <w:t>http://intranetsp.bournemouth.ac.uk/policy/Legal%20Services%20Quick%20Guide%20to%20Contracting%20for%20Research%20and%20Enterprise.docx</w:t>
        </w:r>
      </w:hyperlink>
      <w:r w:rsidR="00CE1537">
        <w:t xml:space="preserve"> </w:t>
      </w:r>
    </w:p>
    <w:p w14:paraId="2EF5A023" w14:textId="77777777" w:rsidR="00D3504E" w:rsidRDefault="00D3504E" w:rsidP="00F63F4F">
      <w:pPr>
        <w:pStyle w:val="ListParagraph"/>
      </w:pPr>
    </w:p>
    <w:p w14:paraId="2EF5A024" w14:textId="77777777" w:rsidR="006C4B0E" w:rsidRPr="003152FC" w:rsidRDefault="006C4B0E" w:rsidP="004A1BD3">
      <w:pPr>
        <w:rPr>
          <w:b/>
        </w:rPr>
      </w:pPr>
      <w:r w:rsidRPr="003152FC">
        <w:rPr>
          <w:b/>
        </w:rPr>
        <w:t>The Mental Capacity Act 2005</w:t>
      </w:r>
    </w:p>
    <w:p w14:paraId="2EF5A025" w14:textId="77777777" w:rsidR="005B4A12" w:rsidRPr="003152FC" w:rsidRDefault="005B4A12" w:rsidP="004A1BD3">
      <w:pPr>
        <w:rPr>
          <w:i/>
        </w:rPr>
      </w:pPr>
      <w:r w:rsidRPr="003152FC">
        <w:rPr>
          <w:i/>
        </w:rPr>
        <w:t>Key points</w:t>
      </w:r>
    </w:p>
    <w:p w14:paraId="2EF5A026" w14:textId="77777777" w:rsidR="005B4A12" w:rsidRDefault="005B4A12" w:rsidP="00744901">
      <w:pPr>
        <w:pStyle w:val="ListParagraph"/>
        <w:numPr>
          <w:ilvl w:val="0"/>
          <w:numId w:val="10"/>
        </w:numPr>
      </w:pPr>
      <w:r>
        <w:t xml:space="preserve">The Mental Capacity Act 2005 </w:t>
      </w:r>
      <w:r w:rsidR="0017125D">
        <w:t xml:space="preserve">(MCA) </w:t>
      </w:r>
      <w:r>
        <w:t>provides a statutory framework for people who lack capacity to make decisions for themsel</w:t>
      </w:r>
      <w:r w:rsidR="00EE2269">
        <w:t>ves. It</w:t>
      </w:r>
      <w:r>
        <w:t xml:space="preserve"> sets out who can take decisions, in which situations, and how they should go about this.</w:t>
      </w:r>
    </w:p>
    <w:p w14:paraId="2EF5A027" w14:textId="77777777" w:rsidR="00907A4F" w:rsidRDefault="00907A4F" w:rsidP="005B4A12">
      <w:pPr>
        <w:pStyle w:val="ListParagraph"/>
        <w:numPr>
          <w:ilvl w:val="0"/>
          <w:numId w:val="10"/>
        </w:numPr>
      </w:pPr>
      <w:r>
        <w:t xml:space="preserve">The </w:t>
      </w:r>
      <w:r w:rsidR="0017125D">
        <w:t>MC</w:t>
      </w:r>
      <w:r>
        <w:t>A sets out specific safeguards and controls for research involving, or in relation to, people lacking capacity to consent to their participation.</w:t>
      </w:r>
    </w:p>
    <w:p w14:paraId="2EF5A028" w14:textId="77777777" w:rsidR="00052E3F" w:rsidRPr="00052E3F" w:rsidRDefault="001168B6" w:rsidP="001F1A61">
      <w:pPr>
        <w:pStyle w:val="ListParagraph"/>
        <w:numPr>
          <w:ilvl w:val="0"/>
          <w:numId w:val="10"/>
        </w:numPr>
      </w:pPr>
      <w:r w:rsidRPr="00052E3F">
        <w:t xml:space="preserve">All research involving those who lack capacity, or who during the research project come to lack capacity, must be approved by an ‘appropriate body’ operating under the </w:t>
      </w:r>
      <w:r w:rsidR="00E317DF">
        <w:t>MCA</w:t>
      </w:r>
      <w:r w:rsidRPr="00052E3F">
        <w:t>.</w:t>
      </w:r>
      <w:r w:rsidR="00052E3F" w:rsidRPr="00052E3F">
        <w:t xml:space="preserve"> An </w:t>
      </w:r>
      <w:r w:rsidR="00052E3F" w:rsidRPr="001F1A61">
        <w:rPr>
          <w:color w:val="000000" w:themeColor="text1"/>
          <w:shd w:val="clear" w:color="auto" w:fill="FFFFFF"/>
        </w:rPr>
        <w:t>‘appropriate body’ is</w:t>
      </w:r>
      <w:r w:rsidR="002953DE" w:rsidRPr="001F1A61">
        <w:rPr>
          <w:color w:val="000000" w:themeColor="text1"/>
          <w:shd w:val="clear" w:color="auto" w:fill="FFFFFF"/>
        </w:rPr>
        <w:t xml:space="preserve"> defined in law. In England, an ‘appropriate body’ is</w:t>
      </w:r>
      <w:r w:rsidR="00052E3F" w:rsidRPr="001F1A61">
        <w:rPr>
          <w:color w:val="000000" w:themeColor="text1"/>
          <w:shd w:val="clear" w:color="auto" w:fill="FFFFFF"/>
        </w:rPr>
        <w:t xml:space="preserve"> a research ethics committee recognised by the Secretary of State.</w:t>
      </w:r>
    </w:p>
    <w:p w14:paraId="2EF5A029" w14:textId="77777777" w:rsidR="002C5140" w:rsidRPr="003152FC" w:rsidRDefault="002C5140" w:rsidP="002C5140">
      <w:pPr>
        <w:rPr>
          <w:i/>
        </w:rPr>
      </w:pPr>
      <w:r w:rsidRPr="003152FC">
        <w:rPr>
          <w:i/>
        </w:rPr>
        <w:t>Where can I find out more?</w:t>
      </w:r>
    </w:p>
    <w:p w14:paraId="2EF5A02A" w14:textId="77777777" w:rsidR="002953DE" w:rsidRPr="002953DE" w:rsidRDefault="002C5140" w:rsidP="002953DE">
      <w:pPr>
        <w:pStyle w:val="ListParagraph"/>
        <w:numPr>
          <w:ilvl w:val="0"/>
          <w:numId w:val="11"/>
        </w:numPr>
        <w:rPr>
          <w:rStyle w:val="Hyperlink"/>
          <w:color w:val="auto"/>
          <w:u w:val="none"/>
        </w:rPr>
      </w:pPr>
      <w:r>
        <w:t xml:space="preserve">The </w:t>
      </w:r>
      <w:r w:rsidR="001C183B">
        <w:t xml:space="preserve">Government’s Mental Capacity Act </w:t>
      </w:r>
      <w:r w:rsidR="002953DE">
        <w:t>Code of Practice</w:t>
      </w:r>
      <w:r w:rsidR="001C183B">
        <w:t xml:space="preserve"> </w:t>
      </w:r>
      <w:r>
        <w:t xml:space="preserve">can be found at: </w:t>
      </w:r>
      <w:hyperlink r:id="rId42" w:history="1">
        <w:r w:rsidRPr="00E55BB3">
          <w:rPr>
            <w:rStyle w:val="Hyperlink"/>
          </w:rPr>
          <w:t>https://www.gov.uk/government/publications/mental-capacity-act-code-of-practice</w:t>
        </w:r>
      </w:hyperlink>
      <w:r w:rsidR="006E405D" w:rsidRPr="007E7AF0">
        <w:rPr>
          <w:rStyle w:val="Hyperlink"/>
          <w:color w:val="000000" w:themeColor="text1"/>
          <w:u w:val="none"/>
        </w:rPr>
        <w:t>.</w:t>
      </w:r>
    </w:p>
    <w:p w14:paraId="2EF5A02B" w14:textId="77777777" w:rsidR="002953DE" w:rsidRDefault="002953DE" w:rsidP="002953DE">
      <w:pPr>
        <w:pStyle w:val="ListParagraph"/>
        <w:numPr>
          <w:ilvl w:val="0"/>
          <w:numId w:val="11"/>
        </w:numPr>
      </w:pPr>
      <w:r>
        <w:t xml:space="preserve">The University’s </w:t>
      </w:r>
      <w:hyperlink r:id="rId43" w:history="1">
        <w:r w:rsidRPr="00FF6426">
          <w:rPr>
            <w:rStyle w:val="Hyperlink"/>
          </w:rPr>
          <w:t>Research Ethics Code of Practice</w:t>
        </w:r>
      </w:hyperlink>
      <w:r>
        <w:t xml:space="preserve"> contains some further guidance on mental capacity issues.</w:t>
      </w:r>
    </w:p>
    <w:p w14:paraId="2EF5A02C" w14:textId="77777777" w:rsidR="002C5140" w:rsidRDefault="002C5140" w:rsidP="002C5140">
      <w:pPr>
        <w:pStyle w:val="ListParagraph"/>
      </w:pPr>
    </w:p>
    <w:p w14:paraId="2EF5A02D" w14:textId="77777777" w:rsidR="006C4B0E" w:rsidRPr="003152FC" w:rsidRDefault="006C4B0E" w:rsidP="004A1BD3">
      <w:pPr>
        <w:rPr>
          <w:b/>
        </w:rPr>
      </w:pPr>
      <w:r w:rsidRPr="003152FC">
        <w:rPr>
          <w:b/>
        </w:rPr>
        <w:t>Disclosure and Barring Service requirements</w:t>
      </w:r>
    </w:p>
    <w:p w14:paraId="2EF5A02E" w14:textId="77777777" w:rsidR="003152FC" w:rsidRPr="000C5274" w:rsidRDefault="003152FC" w:rsidP="004A1BD3">
      <w:pPr>
        <w:rPr>
          <w:i/>
        </w:rPr>
      </w:pPr>
      <w:r w:rsidRPr="000C5274">
        <w:rPr>
          <w:i/>
        </w:rPr>
        <w:t>Key points</w:t>
      </w:r>
    </w:p>
    <w:p w14:paraId="2EF5A02F" w14:textId="0266CEB3" w:rsidR="003152FC" w:rsidRPr="000C5274" w:rsidRDefault="000C5274" w:rsidP="003152FC">
      <w:pPr>
        <w:pStyle w:val="ListParagraph"/>
        <w:numPr>
          <w:ilvl w:val="0"/>
          <w:numId w:val="11"/>
        </w:numPr>
      </w:pPr>
      <w:r w:rsidRPr="000C5274">
        <w:rPr>
          <w:rFonts w:cs="Arial"/>
          <w:color w:val="0B0C0C"/>
          <w:shd w:val="clear" w:color="auto" w:fill="FFFFFF"/>
        </w:rPr>
        <w:t>The Criminal Records Bureau (</w:t>
      </w:r>
      <w:proofErr w:type="spellStart"/>
      <w:r w:rsidRPr="000C5274">
        <w:t>CRB</w:t>
      </w:r>
      <w:proofErr w:type="spellEnd"/>
      <w:r w:rsidRPr="000C5274">
        <w:rPr>
          <w:rFonts w:cs="Arial"/>
          <w:color w:val="0B0C0C"/>
          <w:shd w:val="clear" w:color="auto" w:fill="FFFFFF"/>
        </w:rPr>
        <w:t>) and the Independent Safeguarding Authority (</w:t>
      </w:r>
      <w:r w:rsidRPr="000C5274">
        <w:t>ISA</w:t>
      </w:r>
      <w:r w:rsidRPr="000C5274">
        <w:rPr>
          <w:rFonts w:cs="Arial"/>
          <w:color w:val="0B0C0C"/>
          <w:shd w:val="clear" w:color="auto" w:fill="FFFFFF"/>
        </w:rPr>
        <w:t xml:space="preserve">) </w:t>
      </w:r>
      <w:r w:rsidR="009A079E">
        <w:rPr>
          <w:rFonts w:cs="Arial"/>
          <w:color w:val="0B0C0C"/>
          <w:shd w:val="clear" w:color="auto" w:fill="FFFFFF"/>
        </w:rPr>
        <w:t>were</w:t>
      </w:r>
      <w:r w:rsidRPr="000C5274">
        <w:rPr>
          <w:rFonts w:cs="Arial"/>
          <w:color w:val="0B0C0C"/>
          <w:shd w:val="clear" w:color="auto" w:fill="FFFFFF"/>
        </w:rPr>
        <w:t xml:space="preserve"> merged </w:t>
      </w:r>
      <w:r w:rsidR="009A079E">
        <w:rPr>
          <w:rFonts w:cs="Arial"/>
          <w:color w:val="0B0C0C"/>
          <w:shd w:val="clear" w:color="auto" w:fill="FFFFFF"/>
        </w:rPr>
        <w:t>in 2012 to</w:t>
      </w:r>
      <w:r w:rsidRPr="000C5274">
        <w:rPr>
          <w:rFonts w:cs="Arial"/>
          <w:color w:val="0B0C0C"/>
          <w:shd w:val="clear" w:color="auto" w:fill="FFFFFF"/>
        </w:rPr>
        <w:t xml:space="preserve"> become the Disclosure and Barring Service (</w:t>
      </w:r>
      <w:r w:rsidRPr="000C5274">
        <w:t>DBS</w:t>
      </w:r>
      <w:r w:rsidRPr="000C5274">
        <w:rPr>
          <w:rFonts w:cs="Arial"/>
          <w:color w:val="0B0C0C"/>
          <w:shd w:val="clear" w:color="auto" w:fill="FFFFFF"/>
        </w:rPr>
        <w:t>).</w:t>
      </w:r>
      <w:r w:rsidRPr="000C5274">
        <w:rPr>
          <w:rStyle w:val="apple-converted-space"/>
          <w:rFonts w:cs="Arial"/>
          <w:color w:val="0B0C0C"/>
          <w:shd w:val="clear" w:color="auto" w:fill="FFFFFF"/>
        </w:rPr>
        <w:t> </w:t>
      </w:r>
    </w:p>
    <w:p w14:paraId="2EF5A030" w14:textId="2B6D40AA" w:rsidR="000C5274" w:rsidRDefault="000C5274" w:rsidP="000C5274">
      <w:pPr>
        <w:pStyle w:val="ListParagraph"/>
        <w:numPr>
          <w:ilvl w:val="0"/>
          <w:numId w:val="11"/>
        </w:numPr>
      </w:pPr>
      <w:r>
        <w:lastRenderedPageBreak/>
        <w:t xml:space="preserve">A DBS check </w:t>
      </w:r>
      <w:r w:rsidR="009A079E">
        <w:t xml:space="preserve">(previously </w:t>
      </w:r>
      <w:proofErr w:type="spellStart"/>
      <w:r w:rsidR="009A079E">
        <w:t>CRB</w:t>
      </w:r>
      <w:proofErr w:type="spellEnd"/>
      <w:r w:rsidR="009A079E">
        <w:t xml:space="preserve"> check) </w:t>
      </w:r>
      <w:r>
        <w:t>may be needed for staff undertaking certain activities and roles as part of their research, for example where they are working with children or vulnerable adults.</w:t>
      </w:r>
    </w:p>
    <w:p w14:paraId="2EF5A031" w14:textId="77777777" w:rsidR="000C5274" w:rsidRPr="000C5274" w:rsidRDefault="000C5274" w:rsidP="000C5274">
      <w:pPr>
        <w:rPr>
          <w:i/>
        </w:rPr>
      </w:pPr>
      <w:r w:rsidRPr="000C5274">
        <w:rPr>
          <w:i/>
        </w:rPr>
        <w:t>Where can I find out more?</w:t>
      </w:r>
    </w:p>
    <w:p w14:paraId="2EF5A032" w14:textId="77777777" w:rsidR="000C5274" w:rsidRPr="001F1A61" w:rsidRDefault="00FB08B2" w:rsidP="00FB08B2">
      <w:pPr>
        <w:pStyle w:val="ListParagraph"/>
        <w:numPr>
          <w:ilvl w:val="0"/>
          <w:numId w:val="12"/>
        </w:numPr>
        <w:rPr>
          <w:rStyle w:val="Hyperlink"/>
          <w:color w:val="auto"/>
          <w:u w:val="none"/>
        </w:rPr>
      </w:pPr>
      <w:r>
        <w:t xml:space="preserve">Further information can be found at: </w:t>
      </w:r>
      <w:hyperlink r:id="rId44" w:history="1">
        <w:r w:rsidRPr="00E55BB3">
          <w:rPr>
            <w:rStyle w:val="Hyperlink"/>
          </w:rPr>
          <w:t>https://</w:t>
        </w:r>
        <w:proofErr w:type="spellStart"/>
        <w:r w:rsidRPr="00E55BB3">
          <w:rPr>
            <w:rStyle w:val="Hyperlink"/>
          </w:rPr>
          <w:t>www.gov.uk</w:t>
        </w:r>
        <w:proofErr w:type="spellEnd"/>
        <w:r w:rsidRPr="00E55BB3">
          <w:rPr>
            <w:rStyle w:val="Hyperlink"/>
          </w:rPr>
          <w:t>/disclosure-barring-service-check/overview</w:t>
        </w:r>
      </w:hyperlink>
      <w:r w:rsidR="006E405D" w:rsidRPr="001F1A61">
        <w:rPr>
          <w:rStyle w:val="Hyperlink"/>
          <w:color w:val="000000" w:themeColor="text1"/>
          <w:u w:val="none"/>
        </w:rPr>
        <w:t>.</w:t>
      </w:r>
    </w:p>
    <w:p w14:paraId="2EF5A033" w14:textId="77777777" w:rsidR="003313BC" w:rsidRPr="00D00268" w:rsidRDefault="001D374C" w:rsidP="004A1BD3">
      <w:pPr>
        <w:pStyle w:val="ListParagraph"/>
        <w:numPr>
          <w:ilvl w:val="0"/>
          <w:numId w:val="12"/>
        </w:numPr>
      </w:pPr>
      <w:r>
        <w:t>BU Research Ethics (</w:t>
      </w:r>
      <w:proofErr w:type="spellStart"/>
      <w:r w:rsidR="00BE1A33">
        <w:fldChar w:fldCharType="begin"/>
      </w:r>
      <w:r w:rsidR="00BE1A33">
        <w:instrText xml:space="preserve"> HYPERLINK "mailto:researchethics@bournemouth.ac.uk" </w:instrText>
      </w:r>
      <w:r w:rsidR="00BE1A33">
        <w:fldChar w:fldCharType="separate"/>
      </w:r>
      <w:r w:rsidR="00573ACF" w:rsidRPr="000378BF">
        <w:rPr>
          <w:rStyle w:val="Hyperlink"/>
        </w:rPr>
        <w:t>researchethics@bournemouth.ac.uk</w:t>
      </w:r>
      <w:proofErr w:type="spellEnd"/>
      <w:r w:rsidR="00BE1A33">
        <w:rPr>
          <w:rStyle w:val="Hyperlink"/>
        </w:rPr>
        <w:fldChar w:fldCharType="end"/>
      </w:r>
      <w:r>
        <w:t>)</w:t>
      </w:r>
      <w:r w:rsidR="006E405D">
        <w:t>.</w:t>
      </w:r>
    </w:p>
    <w:p w14:paraId="2EF5A034" w14:textId="77777777" w:rsidR="006C4B0E" w:rsidRPr="00995483" w:rsidRDefault="006C4B0E" w:rsidP="004A1BD3">
      <w:pPr>
        <w:rPr>
          <w:b/>
        </w:rPr>
      </w:pPr>
      <w:r w:rsidRPr="00995483">
        <w:rPr>
          <w:b/>
        </w:rPr>
        <w:t>Animal</w:t>
      </w:r>
      <w:r w:rsidR="00C90EEF" w:rsidRPr="00995483">
        <w:rPr>
          <w:b/>
        </w:rPr>
        <w:t>s</w:t>
      </w:r>
      <w:r w:rsidRPr="00995483">
        <w:rPr>
          <w:b/>
        </w:rPr>
        <w:t xml:space="preserve"> </w:t>
      </w:r>
      <w:r w:rsidR="00C90EEF" w:rsidRPr="00995483">
        <w:rPr>
          <w:b/>
        </w:rPr>
        <w:t>(</w:t>
      </w:r>
      <w:r w:rsidRPr="00995483">
        <w:rPr>
          <w:b/>
        </w:rPr>
        <w:t>Scientific Procedures</w:t>
      </w:r>
      <w:r w:rsidR="00C90EEF" w:rsidRPr="00995483">
        <w:rPr>
          <w:b/>
        </w:rPr>
        <w:t>) Act 1986</w:t>
      </w:r>
    </w:p>
    <w:p w14:paraId="2EF5A035" w14:textId="77777777" w:rsidR="00995483" w:rsidRPr="00B463E8" w:rsidRDefault="00995483" w:rsidP="004A1BD3">
      <w:pPr>
        <w:rPr>
          <w:i/>
        </w:rPr>
      </w:pPr>
      <w:r w:rsidRPr="00B463E8">
        <w:rPr>
          <w:i/>
        </w:rPr>
        <w:t>Key points</w:t>
      </w:r>
    </w:p>
    <w:p w14:paraId="2EF5A036" w14:textId="77777777" w:rsidR="00E52F11" w:rsidRDefault="00E52F11" w:rsidP="00E52F11">
      <w:pPr>
        <w:pStyle w:val="ListParagraph"/>
        <w:numPr>
          <w:ilvl w:val="0"/>
          <w:numId w:val="12"/>
        </w:numPr>
      </w:pPr>
      <w:r>
        <w:t>The use of animals in experiments and testing is regulated under the Animals (Scientific Procedures) Act 1986</w:t>
      </w:r>
      <w:r w:rsidR="008B46F6">
        <w:t xml:space="preserve"> (</w:t>
      </w:r>
      <w:proofErr w:type="spellStart"/>
      <w:r w:rsidR="008B46F6">
        <w:t>ASPA</w:t>
      </w:r>
      <w:proofErr w:type="spellEnd"/>
      <w:r w:rsidR="008B46F6">
        <w:t>)</w:t>
      </w:r>
      <w:r>
        <w:t>.</w:t>
      </w:r>
    </w:p>
    <w:p w14:paraId="2EF5A037" w14:textId="77777777" w:rsidR="008923CA" w:rsidRDefault="00B463E8" w:rsidP="00744901">
      <w:pPr>
        <w:pStyle w:val="ListParagraph"/>
        <w:numPr>
          <w:ilvl w:val="0"/>
          <w:numId w:val="12"/>
        </w:numPr>
      </w:pPr>
      <w:r>
        <w:t xml:space="preserve">Under the </w:t>
      </w:r>
      <w:proofErr w:type="spellStart"/>
      <w:r w:rsidR="008B46F6">
        <w:t>ASP</w:t>
      </w:r>
      <w:r>
        <w:t>A</w:t>
      </w:r>
      <w:proofErr w:type="spellEnd"/>
      <w:r>
        <w:t xml:space="preserve"> a ‘protected animal’ is ‘any living vertebrate, other than man, and any living cephalopod’.</w:t>
      </w:r>
      <w:r w:rsidR="0019086A">
        <w:t xml:space="preserve"> </w:t>
      </w:r>
      <w:r w:rsidR="008923CA">
        <w:t>A protected animal is defined as ‘living’ until its circulation stops permanently or its brain is destroyed.</w:t>
      </w:r>
    </w:p>
    <w:p w14:paraId="1CFBE41A" w14:textId="6E51362C" w:rsidR="00F35E1B" w:rsidRPr="00435B63" w:rsidRDefault="000C7BB2">
      <w:pPr>
        <w:pStyle w:val="ListParagraph"/>
        <w:numPr>
          <w:ilvl w:val="0"/>
          <w:numId w:val="12"/>
        </w:numPr>
      </w:pPr>
      <w:r>
        <w:rPr>
          <w:rFonts w:eastAsia="Times New Roman" w:cs="Arial"/>
          <w:color w:val="0B0C0C"/>
          <w:lang w:eastAsia="en-GB"/>
        </w:rPr>
        <w:t>Three</w:t>
      </w:r>
      <w:r w:rsidR="00E52F11" w:rsidRPr="00B463E8">
        <w:rPr>
          <w:rFonts w:eastAsia="Times New Roman" w:cs="Arial"/>
          <w:color w:val="0B0C0C"/>
          <w:lang w:eastAsia="en-GB"/>
        </w:rPr>
        <w:t xml:space="preserve"> licences are required by the </w:t>
      </w:r>
      <w:proofErr w:type="spellStart"/>
      <w:r w:rsidR="008B46F6">
        <w:t>ASP</w:t>
      </w:r>
      <w:r w:rsidR="008923CA">
        <w:rPr>
          <w:rFonts w:eastAsia="Times New Roman" w:cs="Arial"/>
          <w:color w:val="0B0C0C"/>
          <w:lang w:eastAsia="en-GB"/>
        </w:rPr>
        <w:t>A</w:t>
      </w:r>
      <w:proofErr w:type="spellEnd"/>
      <w:r w:rsidR="00E52F11" w:rsidRPr="00B463E8">
        <w:rPr>
          <w:rFonts w:eastAsia="Times New Roman" w:cs="Arial"/>
          <w:color w:val="0B0C0C"/>
          <w:lang w:eastAsia="en-GB"/>
        </w:rPr>
        <w:t> before testing on animals is permitted:</w:t>
      </w:r>
    </w:p>
    <w:p w14:paraId="18E34C88" w14:textId="77777777" w:rsidR="00F35E1B" w:rsidRPr="00B463E8" w:rsidRDefault="00F35E1B" w:rsidP="00F35E1B">
      <w:pPr>
        <w:pStyle w:val="ListParagraph"/>
        <w:numPr>
          <w:ilvl w:val="1"/>
          <w:numId w:val="12"/>
        </w:numPr>
      </w:pPr>
      <w:r w:rsidRPr="00B463E8">
        <w:rPr>
          <w:rFonts w:eastAsia="Times New Roman" w:cs="Arial"/>
          <w:color w:val="0B0C0C"/>
          <w:lang w:eastAsia="en-GB"/>
        </w:rPr>
        <w:t xml:space="preserve">a </w:t>
      </w:r>
      <w:r w:rsidRPr="00435B63">
        <w:rPr>
          <w:rFonts w:eastAsia="Times New Roman" w:cs="Arial"/>
          <w:i/>
          <w:color w:val="0B0C0C"/>
          <w:lang w:eastAsia="en-GB"/>
        </w:rPr>
        <w:t xml:space="preserve">personal </w:t>
      </w:r>
      <w:r w:rsidRPr="00B463E8">
        <w:rPr>
          <w:rFonts w:eastAsia="Times New Roman" w:cs="Arial"/>
          <w:color w:val="0B0C0C"/>
          <w:lang w:eastAsia="en-GB"/>
        </w:rPr>
        <w:t>licence for each person carrying out procedures on animals</w:t>
      </w:r>
      <w:r>
        <w:rPr>
          <w:rFonts w:eastAsia="Times New Roman" w:cs="Arial"/>
          <w:color w:val="0B0C0C"/>
          <w:lang w:eastAsia="en-GB"/>
        </w:rPr>
        <w:t>;</w:t>
      </w:r>
    </w:p>
    <w:p w14:paraId="62FBAC76" w14:textId="77777777" w:rsidR="00F35E1B" w:rsidRPr="00B463E8" w:rsidRDefault="00F35E1B" w:rsidP="00F35E1B">
      <w:pPr>
        <w:pStyle w:val="ListParagraph"/>
        <w:numPr>
          <w:ilvl w:val="1"/>
          <w:numId w:val="12"/>
        </w:numPr>
      </w:pPr>
      <w:r w:rsidRPr="00B463E8">
        <w:rPr>
          <w:rFonts w:eastAsia="Times New Roman" w:cs="Arial"/>
          <w:color w:val="0B0C0C"/>
          <w:lang w:eastAsia="en-GB"/>
        </w:rPr>
        <w:t xml:space="preserve">a </w:t>
      </w:r>
      <w:r w:rsidRPr="00435B63">
        <w:rPr>
          <w:rFonts w:eastAsia="Times New Roman" w:cs="Arial"/>
          <w:i/>
          <w:color w:val="0B0C0C"/>
          <w:lang w:eastAsia="en-GB"/>
        </w:rPr>
        <w:t xml:space="preserve">project </w:t>
      </w:r>
      <w:r w:rsidRPr="00B463E8">
        <w:rPr>
          <w:rFonts w:eastAsia="Times New Roman" w:cs="Arial"/>
          <w:color w:val="0B0C0C"/>
          <w:lang w:eastAsia="en-GB"/>
        </w:rPr>
        <w:t>licence for the programme of work</w:t>
      </w:r>
      <w:r>
        <w:rPr>
          <w:rFonts w:eastAsia="Times New Roman" w:cs="Arial"/>
          <w:color w:val="0B0C0C"/>
          <w:lang w:eastAsia="en-GB"/>
        </w:rPr>
        <w:t>; and</w:t>
      </w:r>
    </w:p>
    <w:p w14:paraId="6C140767" w14:textId="77777777" w:rsidR="00F35E1B" w:rsidRPr="0074476A" w:rsidRDefault="00F35E1B" w:rsidP="00F35E1B">
      <w:pPr>
        <w:pStyle w:val="ListParagraph"/>
        <w:numPr>
          <w:ilvl w:val="1"/>
          <w:numId w:val="12"/>
        </w:numPr>
      </w:pPr>
      <w:r w:rsidRPr="00B463E8">
        <w:rPr>
          <w:rFonts w:eastAsia="Times New Roman" w:cs="Arial"/>
          <w:color w:val="0B0C0C"/>
          <w:lang w:eastAsia="en-GB"/>
        </w:rPr>
        <w:t xml:space="preserve">an </w:t>
      </w:r>
      <w:r w:rsidRPr="00435B63">
        <w:rPr>
          <w:rFonts w:eastAsia="Times New Roman" w:cs="Arial"/>
          <w:i/>
          <w:color w:val="0B0C0C"/>
          <w:lang w:eastAsia="en-GB"/>
        </w:rPr>
        <w:t>establishment</w:t>
      </w:r>
      <w:r w:rsidRPr="00B463E8">
        <w:rPr>
          <w:rFonts w:eastAsia="Times New Roman" w:cs="Arial"/>
          <w:color w:val="0B0C0C"/>
          <w:lang w:eastAsia="en-GB"/>
        </w:rPr>
        <w:t xml:space="preserve"> licence for the place at which the work is carried out</w:t>
      </w:r>
      <w:r>
        <w:rPr>
          <w:rFonts w:eastAsia="Times New Roman" w:cs="Arial"/>
          <w:color w:val="0B0C0C"/>
          <w:lang w:eastAsia="en-GB"/>
        </w:rPr>
        <w:t>.</w:t>
      </w:r>
    </w:p>
    <w:p w14:paraId="3E27398D" w14:textId="6D78BA24" w:rsidR="00F35E1B" w:rsidRPr="00B463E8" w:rsidRDefault="00F35E1B">
      <w:pPr>
        <w:pStyle w:val="ListParagraph"/>
        <w:numPr>
          <w:ilvl w:val="0"/>
          <w:numId w:val="12"/>
        </w:numPr>
      </w:pPr>
      <w:r w:rsidRPr="00435B63">
        <w:rPr>
          <w:rFonts w:eastAsia="Times New Roman" w:cs="Arial"/>
          <w:color w:val="0B0C0C"/>
          <w:lang w:eastAsia="en-GB"/>
        </w:rPr>
        <w:t>These licences are issued by the Home Office and will set out various conditions and requirements</w:t>
      </w:r>
      <w:r>
        <w:t xml:space="preserve"> that must be complied with.</w:t>
      </w:r>
    </w:p>
    <w:p w14:paraId="2EF5A03C" w14:textId="77777777" w:rsidR="008923CA" w:rsidRPr="008923CA" w:rsidRDefault="008923CA" w:rsidP="008923CA">
      <w:pPr>
        <w:rPr>
          <w:i/>
        </w:rPr>
      </w:pPr>
      <w:r w:rsidRPr="008923CA">
        <w:rPr>
          <w:i/>
        </w:rPr>
        <w:t>Where can I find out more?</w:t>
      </w:r>
    </w:p>
    <w:p w14:paraId="2EF5A03D" w14:textId="77777777" w:rsidR="00C90EEF" w:rsidRPr="008923CA" w:rsidRDefault="008923CA" w:rsidP="00744901">
      <w:pPr>
        <w:pStyle w:val="ListParagraph"/>
        <w:numPr>
          <w:ilvl w:val="0"/>
          <w:numId w:val="14"/>
        </w:numPr>
        <w:rPr>
          <w:rStyle w:val="Hyperlink"/>
          <w:color w:val="auto"/>
          <w:u w:val="none"/>
        </w:rPr>
      </w:pPr>
      <w:r>
        <w:t xml:space="preserve">Further information and guidance is available at: </w:t>
      </w:r>
      <w:hyperlink r:id="rId45" w:history="1">
        <w:r w:rsidR="00C90EEF" w:rsidRPr="00617128">
          <w:rPr>
            <w:rStyle w:val="Hyperlink"/>
          </w:rPr>
          <w:t>https://</w:t>
        </w:r>
        <w:proofErr w:type="spellStart"/>
        <w:r w:rsidR="00C90EEF" w:rsidRPr="00617128">
          <w:rPr>
            <w:rStyle w:val="Hyperlink"/>
          </w:rPr>
          <w:t>www.gov.uk</w:t>
        </w:r>
        <w:proofErr w:type="spellEnd"/>
        <w:r w:rsidR="00C90EEF" w:rsidRPr="00617128">
          <w:rPr>
            <w:rStyle w:val="Hyperlink"/>
          </w:rPr>
          <w:t>/research-and-testing-using-animals</w:t>
        </w:r>
      </w:hyperlink>
      <w:r w:rsidRPr="001F1A61">
        <w:rPr>
          <w:rStyle w:val="Hyperlink"/>
          <w:color w:val="000000" w:themeColor="text1"/>
          <w:u w:val="none"/>
        </w:rPr>
        <w:t>.</w:t>
      </w:r>
    </w:p>
    <w:p w14:paraId="2EF5A03E" w14:textId="77777777" w:rsidR="00C90EEF" w:rsidRDefault="008923CA" w:rsidP="008923CA">
      <w:pPr>
        <w:pStyle w:val="ListParagraph"/>
        <w:numPr>
          <w:ilvl w:val="0"/>
          <w:numId w:val="14"/>
        </w:numPr>
      </w:pPr>
      <w:r>
        <w:t xml:space="preserve">Also see: </w:t>
      </w:r>
      <w:hyperlink r:id="rId46" w:history="1">
        <w:r w:rsidR="00C90EEF" w:rsidRPr="00617128">
          <w:rPr>
            <w:rStyle w:val="Hyperlink"/>
          </w:rPr>
          <w:t>https://</w:t>
        </w:r>
        <w:proofErr w:type="spellStart"/>
        <w:r w:rsidR="00C90EEF" w:rsidRPr="00617128">
          <w:rPr>
            <w:rStyle w:val="Hyperlink"/>
          </w:rPr>
          <w:t>www.gov.uk</w:t>
        </w:r>
        <w:proofErr w:type="spellEnd"/>
        <w:r w:rsidR="00C90EEF" w:rsidRPr="00617128">
          <w:rPr>
            <w:rStyle w:val="Hyperlink"/>
          </w:rPr>
          <w:t>/government/publications/operation-of-</w:t>
        </w:r>
        <w:proofErr w:type="spellStart"/>
        <w:r w:rsidR="00C90EEF" w:rsidRPr="00617128">
          <w:rPr>
            <w:rStyle w:val="Hyperlink"/>
          </w:rPr>
          <w:t>aspa</w:t>
        </w:r>
        <w:proofErr w:type="spellEnd"/>
      </w:hyperlink>
      <w:r w:rsidR="00960DE4">
        <w:rPr>
          <w:rStyle w:val="Hyperlink"/>
        </w:rPr>
        <w:t>.</w:t>
      </w:r>
    </w:p>
    <w:p w14:paraId="2EF5A03F" w14:textId="77777777" w:rsidR="00C90EEF" w:rsidRDefault="00C90EEF" w:rsidP="004A1BD3"/>
    <w:p w14:paraId="2EF5A040" w14:textId="77777777" w:rsidR="006C4B0E" w:rsidRPr="00ED72C6" w:rsidRDefault="007F38F1" w:rsidP="004A1BD3">
      <w:pPr>
        <w:rPr>
          <w:b/>
        </w:rPr>
      </w:pPr>
      <w:r w:rsidRPr="00ED72C6">
        <w:rPr>
          <w:b/>
        </w:rPr>
        <w:t xml:space="preserve">Controlled </w:t>
      </w:r>
      <w:r w:rsidR="004270C7">
        <w:rPr>
          <w:b/>
        </w:rPr>
        <w:t>d</w:t>
      </w:r>
      <w:r w:rsidRPr="00ED72C6">
        <w:rPr>
          <w:b/>
        </w:rPr>
        <w:t xml:space="preserve">rugs: </w:t>
      </w:r>
      <w:r w:rsidR="006C4B0E" w:rsidRPr="00ED72C6">
        <w:rPr>
          <w:b/>
        </w:rPr>
        <w:t>Misuse of D</w:t>
      </w:r>
      <w:r w:rsidR="00ED72C6" w:rsidRPr="00ED72C6">
        <w:rPr>
          <w:b/>
        </w:rPr>
        <w:t xml:space="preserve">rugs </w:t>
      </w:r>
      <w:r w:rsidR="004270C7">
        <w:rPr>
          <w:b/>
        </w:rPr>
        <w:t>l</w:t>
      </w:r>
      <w:r w:rsidR="00ED72C6" w:rsidRPr="00ED72C6">
        <w:rPr>
          <w:b/>
        </w:rPr>
        <w:t>egislation</w:t>
      </w:r>
    </w:p>
    <w:p w14:paraId="2EF5A041" w14:textId="77777777" w:rsidR="0040380C" w:rsidRPr="00ED72C6" w:rsidRDefault="0040380C" w:rsidP="004A1BD3">
      <w:pPr>
        <w:rPr>
          <w:i/>
        </w:rPr>
      </w:pPr>
      <w:r w:rsidRPr="00ED72C6">
        <w:rPr>
          <w:i/>
        </w:rPr>
        <w:t>Key points</w:t>
      </w:r>
    </w:p>
    <w:p w14:paraId="2EF5A042" w14:textId="387AE8DF" w:rsidR="0040380C" w:rsidRPr="00435B63" w:rsidRDefault="0040380C" w:rsidP="0040380C">
      <w:pPr>
        <w:pStyle w:val="ListParagraph"/>
        <w:numPr>
          <w:ilvl w:val="0"/>
          <w:numId w:val="15"/>
        </w:numPr>
      </w:pPr>
      <w:r w:rsidRPr="0040380C">
        <w:rPr>
          <w:shd w:val="clear" w:color="auto" w:fill="FFFFFF"/>
        </w:rPr>
        <w:t>C</w:t>
      </w:r>
      <w:r w:rsidR="00F35E1B">
        <w:rPr>
          <w:shd w:val="clear" w:color="auto" w:fill="FFFFFF"/>
        </w:rPr>
        <w:t>ertain</w:t>
      </w:r>
      <w:r w:rsidRPr="0040380C">
        <w:rPr>
          <w:shd w:val="clear" w:color="auto" w:fill="FFFFFF"/>
        </w:rPr>
        <w:t xml:space="preserve"> drugs are subject to control under the Misuse of Drugs legislation</w:t>
      </w:r>
      <w:r w:rsidR="00F35E1B">
        <w:rPr>
          <w:shd w:val="clear" w:color="auto" w:fill="FFFFFF"/>
        </w:rPr>
        <w:t>:</w:t>
      </w:r>
      <w:r w:rsidR="00DE5E90">
        <w:rPr>
          <w:shd w:val="clear" w:color="auto" w:fill="FFFFFF"/>
        </w:rPr>
        <w:t xml:space="preserve"> Misuse of Drugs Act 1971 and Misuse of Drugs Regulations 2001</w:t>
      </w:r>
      <w:r w:rsidRPr="0040380C">
        <w:rPr>
          <w:shd w:val="clear" w:color="auto" w:fill="FFFFFF"/>
        </w:rPr>
        <w:t>.</w:t>
      </w:r>
    </w:p>
    <w:p w14:paraId="3BE96300" w14:textId="522E4F6E" w:rsidR="00B45888" w:rsidRPr="00435B63" w:rsidRDefault="00B45888" w:rsidP="00C57466">
      <w:pPr>
        <w:pStyle w:val="ListParagraph"/>
        <w:numPr>
          <w:ilvl w:val="0"/>
          <w:numId w:val="15"/>
        </w:numPr>
      </w:pPr>
      <w:r>
        <w:rPr>
          <w:lang w:val="en"/>
        </w:rPr>
        <w:t xml:space="preserve">The main purpose of the </w:t>
      </w:r>
      <w:r>
        <w:rPr>
          <w:shd w:val="clear" w:color="auto" w:fill="FFFFFF"/>
        </w:rPr>
        <w:t xml:space="preserve">Misuse of Drugs Act 1971 </w:t>
      </w:r>
      <w:r>
        <w:rPr>
          <w:lang w:val="en"/>
        </w:rPr>
        <w:t xml:space="preserve">is to prevent the misuse of </w:t>
      </w:r>
      <w:r w:rsidR="002B10B3">
        <w:rPr>
          <w:lang w:val="en"/>
        </w:rPr>
        <w:t xml:space="preserve">particular named drugs </w:t>
      </w:r>
      <w:r>
        <w:rPr>
          <w:lang w:val="en"/>
        </w:rPr>
        <w:t xml:space="preserve">and </w:t>
      </w:r>
      <w:r w:rsidR="00F23EE6">
        <w:rPr>
          <w:lang w:val="en"/>
        </w:rPr>
        <w:t xml:space="preserve">it </w:t>
      </w:r>
      <w:r>
        <w:rPr>
          <w:lang w:val="en"/>
        </w:rPr>
        <w:t>achieves this by imposing a complete ban on the possession, supply, ma</w:t>
      </w:r>
      <w:r w:rsidR="00C57466">
        <w:rPr>
          <w:lang w:val="en"/>
        </w:rPr>
        <w:t>nufacture, import and export of</w:t>
      </w:r>
      <w:r w:rsidR="002B10B3">
        <w:rPr>
          <w:lang w:val="en"/>
        </w:rPr>
        <w:t xml:space="preserve"> </w:t>
      </w:r>
      <w:r>
        <w:rPr>
          <w:lang w:val="en"/>
        </w:rPr>
        <w:t xml:space="preserve">controlled drugs except as allowed by regulations or by </w:t>
      </w:r>
      <w:proofErr w:type="spellStart"/>
      <w:r>
        <w:rPr>
          <w:lang w:val="en"/>
        </w:rPr>
        <w:t>licence</w:t>
      </w:r>
      <w:proofErr w:type="spellEnd"/>
      <w:r>
        <w:rPr>
          <w:lang w:val="en"/>
        </w:rPr>
        <w:t xml:space="preserve"> from the Secretary of State.</w:t>
      </w:r>
      <w:r w:rsidR="00DA6305">
        <w:rPr>
          <w:lang w:val="en"/>
        </w:rPr>
        <w:t xml:space="preserve"> A list of the most commonly encountered controlled drugs is set out on the Home Office website: </w:t>
      </w:r>
    </w:p>
    <w:p w14:paraId="55A9FED5" w14:textId="03C924C8" w:rsidR="00C57466" w:rsidRDefault="00BE1A33" w:rsidP="00435B63">
      <w:pPr>
        <w:pStyle w:val="ListParagraph"/>
      </w:pPr>
      <w:hyperlink r:id="rId47" w:history="1">
        <w:r w:rsidR="00C57466" w:rsidRPr="00C90FE7">
          <w:rPr>
            <w:rStyle w:val="Hyperlink"/>
          </w:rPr>
          <w:t>https://www.gov.uk/government/publications/controlled-drugs-list--2/list-of-most-commonly-encountered-drugs-currently-controlled-under-the-misuse-of-drugs-legislation</w:t>
        </w:r>
      </w:hyperlink>
    </w:p>
    <w:p w14:paraId="61B4CFFD" w14:textId="3489429A" w:rsidR="002B10B3" w:rsidRDefault="002C439B" w:rsidP="00435B63">
      <w:pPr>
        <w:pStyle w:val="ListParagraph"/>
        <w:numPr>
          <w:ilvl w:val="0"/>
          <w:numId w:val="15"/>
        </w:numPr>
        <w:rPr>
          <w:lang w:val="en"/>
        </w:rPr>
      </w:pPr>
      <w:r w:rsidRPr="00DA6305">
        <w:rPr>
          <w:lang w:val="en"/>
        </w:rPr>
        <w:t>Controlled drugs are grouped in</w:t>
      </w:r>
      <w:r w:rsidR="00482CE9" w:rsidRPr="00DA6305">
        <w:rPr>
          <w:lang w:val="en"/>
        </w:rPr>
        <w:t>to</w:t>
      </w:r>
      <w:r w:rsidRPr="00DA6305">
        <w:rPr>
          <w:lang w:val="en"/>
        </w:rPr>
        <w:t xml:space="preserve"> schedules</w:t>
      </w:r>
      <w:r w:rsidR="00482CE9" w:rsidRPr="00DA6305">
        <w:rPr>
          <w:lang w:val="en"/>
        </w:rPr>
        <w:t xml:space="preserve"> under the Misuse of Drugs </w:t>
      </w:r>
      <w:r w:rsidR="000D1DE6">
        <w:rPr>
          <w:lang w:val="en"/>
        </w:rPr>
        <w:t>Regulations 2001</w:t>
      </w:r>
      <w:r w:rsidRPr="00DA6305">
        <w:rPr>
          <w:lang w:val="en"/>
        </w:rPr>
        <w:t xml:space="preserve">. </w:t>
      </w:r>
      <w:r w:rsidR="002B10B3" w:rsidRPr="00DA6305">
        <w:rPr>
          <w:lang w:val="en"/>
        </w:rPr>
        <w:t xml:space="preserve">University research departments generally do not require </w:t>
      </w:r>
      <w:proofErr w:type="spellStart"/>
      <w:r w:rsidR="002B10B3" w:rsidRPr="00DA6305">
        <w:rPr>
          <w:lang w:val="en"/>
        </w:rPr>
        <w:t>licences</w:t>
      </w:r>
      <w:proofErr w:type="spellEnd"/>
      <w:r w:rsidR="002B10B3" w:rsidRPr="00DA6305">
        <w:rPr>
          <w:lang w:val="en"/>
        </w:rPr>
        <w:t xml:space="preserve"> to possess and supply drugs in schedules 2, 3, 4 part I, 4 part II and schedule 5, but they do require </w:t>
      </w:r>
      <w:proofErr w:type="spellStart"/>
      <w:r w:rsidR="002B10B3" w:rsidRPr="00DA6305">
        <w:rPr>
          <w:lang w:val="en"/>
        </w:rPr>
        <w:t>licences</w:t>
      </w:r>
      <w:proofErr w:type="spellEnd"/>
      <w:r w:rsidR="002B10B3" w:rsidRPr="00DA6305">
        <w:rPr>
          <w:lang w:val="en"/>
        </w:rPr>
        <w:t xml:space="preserve"> to </w:t>
      </w:r>
      <w:r w:rsidR="002B10B3" w:rsidRPr="00435B63">
        <w:rPr>
          <w:i/>
          <w:lang w:val="en"/>
        </w:rPr>
        <w:t>produce</w:t>
      </w:r>
      <w:r w:rsidR="002B10B3" w:rsidRPr="00DA6305">
        <w:rPr>
          <w:lang w:val="en"/>
        </w:rPr>
        <w:t xml:space="preserve"> any of those drugs and to produce, possess and/or supply drugs in schedule 1.</w:t>
      </w:r>
    </w:p>
    <w:p w14:paraId="2EF5A043" w14:textId="77777777" w:rsidR="0040380C" w:rsidRPr="00ED72C6" w:rsidRDefault="0040380C" w:rsidP="0040380C">
      <w:pPr>
        <w:rPr>
          <w:i/>
        </w:rPr>
      </w:pPr>
      <w:r w:rsidRPr="00ED72C6">
        <w:rPr>
          <w:i/>
        </w:rPr>
        <w:t>Where can I find out more?</w:t>
      </w:r>
    </w:p>
    <w:p w14:paraId="2EF5A044" w14:textId="77777777" w:rsidR="0040380C" w:rsidRDefault="0040380C" w:rsidP="0040380C">
      <w:pPr>
        <w:pStyle w:val="ListParagraph"/>
        <w:numPr>
          <w:ilvl w:val="0"/>
          <w:numId w:val="15"/>
        </w:numPr>
      </w:pPr>
      <w:r>
        <w:lastRenderedPageBreak/>
        <w:t xml:space="preserve">Information is available from the Home Office: </w:t>
      </w:r>
      <w:hyperlink r:id="rId48" w:history="1">
        <w:r w:rsidR="00406B64" w:rsidRPr="00406B64">
          <w:rPr>
            <w:rStyle w:val="Hyperlink"/>
          </w:rPr>
          <w:t>https://</w:t>
        </w:r>
        <w:proofErr w:type="spellStart"/>
        <w:r w:rsidR="00406B64" w:rsidRPr="00406B64">
          <w:rPr>
            <w:rStyle w:val="Hyperlink"/>
          </w:rPr>
          <w:t>www.gov.uk</w:t>
        </w:r>
        <w:proofErr w:type="spellEnd"/>
        <w:r w:rsidR="00406B64" w:rsidRPr="00406B64">
          <w:rPr>
            <w:rStyle w:val="Hyperlink"/>
          </w:rPr>
          <w:t>/controlled-drugs-licences-fees-and-returns</w:t>
        </w:r>
      </w:hyperlink>
      <w:r w:rsidR="00406B64">
        <w:t>.</w:t>
      </w:r>
    </w:p>
    <w:p w14:paraId="10CCD222" w14:textId="2685D8D2" w:rsidR="000D1DE6" w:rsidRDefault="000D1DE6" w:rsidP="0040380C">
      <w:pPr>
        <w:pStyle w:val="ListParagraph"/>
        <w:numPr>
          <w:ilvl w:val="0"/>
          <w:numId w:val="15"/>
        </w:numPr>
      </w:pPr>
      <w:r>
        <w:t>Check the categorisation of any particular controlled drug by referring to the Schedules of the Misuse of Drugs Regulations 2001:</w:t>
      </w:r>
    </w:p>
    <w:p w14:paraId="1CA62112" w14:textId="0537EFCE" w:rsidR="000D1DE6" w:rsidRDefault="00BE1A33" w:rsidP="00435B63">
      <w:pPr>
        <w:pStyle w:val="ListParagraph"/>
      </w:pPr>
      <w:hyperlink r:id="rId49" w:history="1">
        <w:r w:rsidR="000D1DE6" w:rsidRPr="00C90FE7">
          <w:rPr>
            <w:rStyle w:val="Hyperlink"/>
          </w:rPr>
          <w:t>http://</w:t>
        </w:r>
        <w:proofErr w:type="spellStart"/>
        <w:r w:rsidR="000D1DE6" w:rsidRPr="00C90FE7">
          <w:rPr>
            <w:rStyle w:val="Hyperlink"/>
          </w:rPr>
          <w:t>www.legislation.gov.uk</w:t>
        </w:r>
        <w:proofErr w:type="spellEnd"/>
        <w:r w:rsidR="000D1DE6" w:rsidRPr="00C90FE7">
          <w:rPr>
            <w:rStyle w:val="Hyperlink"/>
          </w:rPr>
          <w:t>/</w:t>
        </w:r>
        <w:proofErr w:type="spellStart"/>
        <w:r w:rsidR="000D1DE6" w:rsidRPr="00C90FE7">
          <w:rPr>
            <w:rStyle w:val="Hyperlink"/>
          </w:rPr>
          <w:t>uksi</w:t>
        </w:r>
        <w:proofErr w:type="spellEnd"/>
        <w:r w:rsidR="000D1DE6" w:rsidRPr="00C90FE7">
          <w:rPr>
            <w:rStyle w:val="Hyperlink"/>
          </w:rPr>
          <w:t>/2001/3998/contents/made</w:t>
        </w:r>
      </w:hyperlink>
    </w:p>
    <w:p w14:paraId="71290E3C" w14:textId="77777777" w:rsidR="000D1DE6" w:rsidRDefault="000D1DE6" w:rsidP="00435B63">
      <w:pPr>
        <w:pStyle w:val="ListParagraph"/>
      </w:pPr>
    </w:p>
    <w:sectPr w:rsidR="000D1DE6">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A047" w14:textId="77777777" w:rsidR="00744901" w:rsidRDefault="00744901" w:rsidP="00017C3D">
      <w:pPr>
        <w:spacing w:after="0" w:line="240" w:lineRule="auto"/>
      </w:pPr>
      <w:r>
        <w:separator/>
      </w:r>
    </w:p>
  </w:endnote>
  <w:endnote w:type="continuationSeparator" w:id="0">
    <w:p w14:paraId="2EF5A048" w14:textId="77777777" w:rsidR="00744901" w:rsidRDefault="00744901" w:rsidP="0001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79031"/>
      <w:docPartObj>
        <w:docPartGallery w:val="Page Numbers (Bottom of Page)"/>
        <w:docPartUnique/>
      </w:docPartObj>
    </w:sdtPr>
    <w:sdtEndPr>
      <w:rPr>
        <w:noProof/>
      </w:rPr>
    </w:sdtEndPr>
    <w:sdtContent>
      <w:p w14:paraId="2EF5A049" w14:textId="31080752" w:rsidR="00744901" w:rsidRDefault="00744901" w:rsidP="00435B63">
        <w:pPr>
          <w:pStyle w:val="Footer"/>
        </w:pPr>
        <w:r w:rsidRPr="00435B63">
          <w:rPr>
            <w:sz w:val="16"/>
            <w:szCs w:val="16"/>
          </w:rPr>
          <w:t>Legal Services Quick Guide: Legal and Regulatory Issues for Researchers</w:t>
        </w:r>
        <w:r>
          <w:rPr>
            <w:sz w:val="16"/>
            <w:szCs w:val="16"/>
          </w:rPr>
          <w:t xml:space="preserve"> </w:t>
        </w:r>
        <w:r w:rsidR="009F1B7C">
          <w:rPr>
            <w:sz w:val="16"/>
            <w:szCs w:val="16"/>
          </w:rPr>
          <w:t>–</w:t>
        </w:r>
        <w:r>
          <w:rPr>
            <w:sz w:val="16"/>
            <w:szCs w:val="16"/>
          </w:rPr>
          <w:t xml:space="preserve"> </w:t>
        </w:r>
        <w:r w:rsidR="009F1B7C">
          <w:rPr>
            <w:sz w:val="16"/>
            <w:szCs w:val="16"/>
          </w:rPr>
          <w:t xml:space="preserve">August </w:t>
        </w:r>
        <w:r w:rsidRPr="00435B63">
          <w:rPr>
            <w:sz w:val="16"/>
            <w:szCs w:val="16"/>
          </w:rPr>
          <w:t>20</w:t>
        </w:r>
        <w:r w:rsidR="009F1B7C">
          <w:rPr>
            <w:sz w:val="16"/>
            <w:szCs w:val="16"/>
          </w:rPr>
          <w:t>22</w:t>
        </w:r>
        <w:r w:rsidRPr="00435B63">
          <w:rPr>
            <w:sz w:val="16"/>
            <w:szCs w:val="16"/>
          </w:rPr>
          <w:t xml:space="preserve"> v</w:t>
        </w:r>
        <w:r w:rsidR="009F1B7C">
          <w:rPr>
            <w:sz w:val="16"/>
            <w:szCs w:val="16"/>
          </w:rPr>
          <w:t>3</w:t>
        </w:r>
        <w:r>
          <w:t xml:space="preserve">                  </w:t>
        </w:r>
        <w:r>
          <w:fldChar w:fldCharType="begin"/>
        </w:r>
        <w:r>
          <w:instrText xml:space="preserve"> PAGE   \* MERGEFORMAT </w:instrText>
        </w:r>
        <w:r>
          <w:fldChar w:fldCharType="separate"/>
        </w:r>
        <w:r w:rsidR="00300FAF">
          <w:rPr>
            <w:noProof/>
          </w:rPr>
          <w:t>2</w:t>
        </w:r>
        <w:r>
          <w:rPr>
            <w:noProof/>
          </w:rPr>
          <w:fldChar w:fldCharType="end"/>
        </w:r>
      </w:p>
    </w:sdtContent>
  </w:sdt>
  <w:p w14:paraId="2EF5A04A" w14:textId="77777777" w:rsidR="00744901" w:rsidRDefault="0074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A045" w14:textId="77777777" w:rsidR="00744901" w:rsidRDefault="00744901" w:rsidP="00017C3D">
      <w:pPr>
        <w:spacing w:after="0" w:line="240" w:lineRule="auto"/>
      </w:pPr>
      <w:r>
        <w:separator/>
      </w:r>
    </w:p>
  </w:footnote>
  <w:footnote w:type="continuationSeparator" w:id="0">
    <w:p w14:paraId="2EF5A046" w14:textId="77777777" w:rsidR="00744901" w:rsidRDefault="00744901" w:rsidP="00017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D04"/>
    <w:multiLevelType w:val="multilevel"/>
    <w:tmpl w:val="551A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B0D87"/>
    <w:multiLevelType w:val="hybridMultilevel"/>
    <w:tmpl w:val="3956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E0160"/>
    <w:multiLevelType w:val="hybridMultilevel"/>
    <w:tmpl w:val="F73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7869"/>
    <w:multiLevelType w:val="hybridMultilevel"/>
    <w:tmpl w:val="007AB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B041C"/>
    <w:multiLevelType w:val="hybridMultilevel"/>
    <w:tmpl w:val="90F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A58FF"/>
    <w:multiLevelType w:val="hybridMultilevel"/>
    <w:tmpl w:val="292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06B22"/>
    <w:multiLevelType w:val="hybridMultilevel"/>
    <w:tmpl w:val="7A3845B8"/>
    <w:lvl w:ilvl="0" w:tplc="FCFAB5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23E66"/>
    <w:multiLevelType w:val="multilevel"/>
    <w:tmpl w:val="4450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9" w15:restartNumberingAfterBreak="0">
    <w:nsid w:val="2CF321F5"/>
    <w:multiLevelType w:val="hybridMultilevel"/>
    <w:tmpl w:val="6E82E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A5BC9"/>
    <w:multiLevelType w:val="hybridMultilevel"/>
    <w:tmpl w:val="D79E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10C04"/>
    <w:multiLevelType w:val="hybridMultilevel"/>
    <w:tmpl w:val="57D6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59EB"/>
    <w:multiLevelType w:val="hybridMultilevel"/>
    <w:tmpl w:val="582640E8"/>
    <w:lvl w:ilvl="0" w:tplc="8338740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8F3E66"/>
    <w:multiLevelType w:val="hybridMultilevel"/>
    <w:tmpl w:val="0940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71BCB"/>
    <w:multiLevelType w:val="hybridMultilevel"/>
    <w:tmpl w:val="DB08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85797"/>
    <w:multiLevelType w:val="hybridMultilevel"/>
    <w:tmpl w:val="E5CA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51079"/>
    <w:multiLevelType w:val="hybridMultilevel"/>
    <w:tmpl w:val="491C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457B9"/>
    <w:multiLevelType w:val="hybridMultilevel"/>
    <w:tmpl w:val="99C4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A56F4"/>
    <w:multiLevelType w:val="hybridMultilevel"/>
    <w:tmpl w:val="24E0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31673"/>
    <w:multiLevelType w:val="hybridMultilevel"/>
    <w:tmpl w:val="D1EC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4"/>
  </w:num>
  <w:num w:numId="5">
    <w:abstractNumId w:val="16"/>
  </w:num>
  <w:num w:numId="6">
    <w:abstractNumId w:val="3"/>
  </w:num>
  <w:num w:numId="7">
    <w:abstractNumId w:val="13"/>
  </w:num>
  <w:num w:numId="8">
    <w:abstractNumId w:val="19"/>
  </w:num>
  <w:num w:numId="9">
    <w:abstractNumId w:val="11"/>
  </w:num>
  <w:num w:numId="10">
    <w:abstractNumId w:val="15"/>
  </w:num>
  <w:num w:numId="11">
    <w:abstractNumId w:val="2"/>
  </w:num>
  <w:num w:numId="12">
    <w:abstractNumId w:val="17"/>
  </w:num>
  <w:num w:numId="13">
    <w:abstractNumId w:val="7"/>
  </w:num>
  <w:num w:numId="14">
    <w:abstractNumId w:val="5"/>
  </w:num>
  <w:num w:numId="15">
    <w:abstractNumId w:val="18"/>
  </w:num>
  <w:num w:numId="16">
    <w:abstractNumId w:val="0"/>
  </w:num>
  <w:num w:numId="17">
    <w:abstractNumId w:val="10"/>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0F8"/>
    <w:rsid w:val="0000077B"/>
    <w:rsid w:val="00017C3D"/>
    <w:rsid w:val="00025D9A"/>
    <w:rsid w:val="000458D8"/>
    <w:rsid w:val="00046219"/>
    <w:rsid w:val="000511FF"/>
    <w:rsid w:val="00052E3F"/>
    <w:rsid w:val="00063EF3"/>
    <w:rsid w:val="00076775"/>
    <w:rsid w:val="000C0A29"/>
    <w:rsid w:val="000C5274"/>
    <w:rsid w:val="000C7BB2"/>
    <w:rsid w:val="000D1DE6"/>
    <w:rsid w:val="000D4FD3"/>
    <w:rsid w:val="000E209A"/>
    <w:rsid w:val="001077DE"/>
    <w:rsid w:val="001110F8"/>
    <w:rsid w:val="00111873"/>
    <w:rsid w:val="00114C9D"/>
    <w:rsid w:val="001168B6"/>
    <w:rsid w:val="0011704A"/>
    <w:rsid w:val="0017125D"/>
    <w:rsid w:val="00175249"/>
    <w:rsid w:val="0019086A"/>
    <w:rsid w:val="00197E0A"/>
    <w:rsid w:val="001B585E"/>
    <w:rsid w:val="001C183B"/>
    <w:rsid w:val="001C2024"/>
    <w:rsid w:val="001D374C"/>
    <w:rsid w:val="001F1A61"/>
    <w:rsid w:val="001F210C"/>
    <w:rsid w:val="001F34C6"/>
    <w:rsid w:val="0021663F"/>
    <w:rsid w:val="00222E4E"/>
    <w:rsid w:val="00226403"/>
    <w:rsid w:val="00246002"/>
    <w:rsid w:val="002500AE"/>
    <w:rsid w:val="002528F3"/>
    <w:rsid w:val="00264ADD"/>
    <w:rsid w:val="002806C5"/>
    <w:rsid w:val="002953DE"/>
    <w:rsid w:val="002A2D6C"/>
    <w:rsid w:val="002A46EF"/>
    <w:rsid w:val="002B10B3"/>
    <w:rsid w:val="002B517A"/>
    <w:rsid w:val="002C439B"/>
    <w:rsid w:val="002C5140"/>
    <w:rsid w:val="002D5384"/>
    <w:rsid w:val="002E5CE7"/>
    <w:rsid w:val="002F504E"/>
    <w:rsid w:val="002F7597"/>
    <w:rsid w:val="00300FAF"/>
    <w:rsid w:val="003152FC"/>
    <w:rsid w:val="003313BC"/>
    <w:rsid w:val="00370344"/>
    <w:rsid w:val="00376D64"/>
    <w:rsid w:val="00384C6A"/>
    <w:rsid w:val="003C39A1"/>
    <w:rsid w:val="003D49DC"/>
    <w:rsid w:val="003E0F97"/>
    <w:rsid w:val="003E0FB8"/>
    <w:rsid w:val="003E505F"/>
    <w:rsid w:val="003F7089"/>
    <w:rsid w:val="0040380C"/>
    <w:rsid w:val="00406B64"/>
    <w:rsid w:val="004270C7"/>
    <w:rsid w:val="00435B63"/>
    <w:rsid w:val="00444856"/>
    <w:rsid w:val="004462F1"/>
    <w:rsid w:val="00456D24"/>
    <w:rsid w:val="00482CE9"/>
    <w:rsid w:val="00486AD6"/>
    <w:rsid w:val="004945F9"/>
    <w:rsid w:val="004A1BD3"/>
    <w:rsid w:val="004A5107"/>
    <w:rsid w:val="004B26D4"/>
    <w:rsid w:val="004F7CFA"/>
    <w:rsid w:val="00513CBD"/>
    <w:rsid w:val="00513DB8"/>
    <w:rsid w:val="00533477"/>
    <w:rsid w:val="00535B2A"/>
    <w:rsid w:val="00554F42"/>
    <w:rsid w:val="00573ACF"/>
    <w:rsid w:val="00575B5C"/>
    <w:rsid w:val="00582BE3"/>
    <w:rsid w:val="00584423"/>
    <w:rsid w:val="00590724"/>
    <w:rsid w:val="00592454"/>
    <w:rsid w:val="0059281C"/>
    <w:rsid w:val="00593C6B"/>
    <w:rsid w:val="005945AF"/>
    <w:rsid w:val="005B237E"/>
    <w:rsid w:val="005B3881"/>
    <w:rsid w:val="005B4A12"/>
    <w:rsid w:val="005D04B9"/>
    <w:rsid w:val="005E201E"/>
    <w:rsid w:val="005E371B"/>
    <w:rsid w:val="005F017E"/>
    <w:rsid w:val="005F643D"/>
    <w:rsid w:val="006178FC"/>
    <w:rsid w:val="0062726E"/>
    <w:rsid w:val="0063386E"/>
    <w:rsid w:val="006343E2"/>
    <w:rsid w:val="00640753"/>
    <w:rsid w:val="00644AC4"/>
    <w:rsid w:val="00670C96"/>
    <w:rsid w:val="00674DE7"/>
    <w:rsid w:val="006802DA"/>
    <w:rsid w:val="0068286C"/>
    <w:rsid w:val="00691E52"/>
    <w:rsid w:val="006A4C5A"/>
    <w:rsid w:val="006C4B0E"/>
    <w:rsid w:val="006C54C9"/>
    <w:rsid w:val="006D1BC7"/>
    <w:rsid w:val="006D4080"/>
    <w:rsid w:val="006E0BC1"/>
    <w:rsid w:val="006E153A"/>
    <w:rsid w:val="006E1768"/>
    <w:rsid w:val="006E405D"/>
    <w:rsid w:val="006F557D"/>
    <w:rsid w:val="00712547"/>
    <w:rsid w:val="00715C25"/>
    <w:rsid w:val="00716093"/>
    <w:rsid w:val="00722C59"/>
    <w:rsid w:val="00736CB2"/>
    <w:rsid w:val="00744901"/>
    <w:rsid w:val="00745620"/>
    <w:rsid w:val="0076324B"/>
    <w:rsid w:val="007747B6"/>
    <w:rsid w:val="007814D0"/>
    <w:rsid w:val="007966A9"/>
    <w:rsid w:val="007A5827"/>
    <w:rsid w:val="007A7557"/>
    <w:rsid w:val="007C0DF0"/>
    <w:rsid w:val="007D2C71"/>
    <w:rsid w:val="007D6DA5"/>
    <w:rsid w:val="007E044B"/>
    <w:rsid w:val="007E21E8"/>
    <w:rsid w:val="007F38F1"/>
    <w:rsid w:val="007F42CA"/>
    <w:rsid w:val="00842CDD"/>
    <w:rsid w:val="0087024B"/>
    <w:rsid w:val="00886709"/>
    <w:rsid w:val="008923CA"/>
    <w:rsid w:val="008A1D38"/>
    <w:rsid w:val="008B30E7"/>
    <w:rsid w:val="008B46F6"/>
    <w:rsid w:val="008C3C2C"/>
    <w:rsid w:val="008C5C34"/>
    <w:rsid w:val="008E6B06"/>
    <w:rsid w:val="00907A4F"/>
    <w:rsid w:val="00925317"/>
    <w:rsid w:val="00937A09"/>
    <w:rsid w:val="00945510"/>
    <w:rsid w:val="009554EC"/>
    <w:rsid w:val="00960DE4"/>
    <w:rsid w:val="00975D9C"/>
    <w:rsid w:val="00976CC8"/>
    <w:rsid w:val="009849C3"/>
    <w:rsid w:val="00995483"/>
    <w:rsid w:val="009A079E"/>
    <w:rsid w:val="009A09E3"/>
    <w:rsid w:val="009B3D23"/>
    <w:rsid w:val="009D774C"/>
    <w:rsid w:val="009E2202"/>
    <w:rsid w:val="009E2E1A"/>
    <w:rsid w:val="009F01B5"/>
    <w:rsid w:val="009F1B7C"/>
    <w:rsid w:val="009F51A5"/>
    <w:rsid w:val="00A1728F"/>
    <w:rsid w:val="00A65F46"/>
    <w:rsid w:val="00A67C07"/>
    <w:rsid w:val="00A8314D"/>
    <w:rsid w:val="00A833D1"/>
    <w:rsid w:val="00AA11C0"/>
    <w:rsid w:val="00AA20A3"/>
    <w:rsid w:val="00AA2901"/>
    <w:rsid w:val="00AB3391"/>
    <w:rsid w:val="00AB3C31"/>
    <w:rsid w:val="00AC0DA5"/>
    <w:rsid w:val="00AC543D"/>
    <w:rsid w:val="00AF3209"/>
    <w:rsid w:val="00B114BE"/>
    <w:rsid w:val="00B15BC1"/>
    <w:rsid w:val="00B322BC"/>
    <w:rsid w:val="00B45888"/>
    <w:rsid w:val="00B463E8"/>
    <w:rsid w:val="00B477E5"/>
    <w:rsid w:val="00B506C3"/>
    <w:rsid w:val="00B50FD1"/>
    <w:rsid w:val="00B51807"/>
    <w:rsid w:val="00B61575"/>
    <w:rsid w:val="00B849DD"/>
    <w:rsid w:val="00BA22A7"/>
    <w:rsid w:val="00BA433E"/>
    <w:rsid w:val="00BA6948"/>
    <w:rsid w:val="00BB281E"/>
    <w:rsid w:val="00BC2483"/>
    <w:rsid w:val="00BE1A33"/>
    <w:rsid w:val="00BE20D2"/>
    <w:rsid w:val="00BF14B5"/>
    <w:rsid w:val="00C0288A"/>
    <w:rsid w:val="00C04A78"/>
    <w:rsid w:val="00C24013"/>
    <w:rsid w:val="00C24F6D"/>
    <w:rsid w:val="00C517E7"/>
    <w:rsid w:val="00C57466"/>
    <w:rsid w:val="00C715B2"/>
    <w:rsid w:val="00C755B5"/>
    <w:rsid w:val="00C84939"/>
    <w:rsid w:val="00C90EEF"/>
    <w:rsid w:val="00CA368B"/>
    <w:rsid w:val="00CA4E67"/>
    <w:rsid w:val="00CC1257"/>
    <w:rsid w:val="00CE1537"/>
    <w:rsid w:val="00D00268"/>
    <w:rsid w:val="00D01422"/>
    <w:rsid w:val="00D3504E"/>
    <w:rsid w:val="00D5096B"/>
    <w:rsid w:val="00D62DC3"/>
    <w:rsid w:val="00D675DF"/>
    <w:rsid w:val="00D80C75"/>
    <w:rsid w:val="00D81E7A"/>
    <w:rsid w:val="00D873F7"/>
    <w:rsid w:val="00DA1979"/>
    <w:rsid w:val="00DA6305"/>
    <w:rsid w:val="00DE5E90"/>
    <w:rsid w:val="00E05DBF"/>
    <w:rsid w:val="00E0735F"/>
    <w:rsid w:val="00E14EF3"/>
    <w:rsid w:val="00E17C57"/>
    <w:rsid w:val="00E317DF"/>
    <w:rsid w:val="00E4349C"/>
    <w:rsid w:val="00E476EE"/>
    <w:rsid w:val="00E513DE"/>
    <w:rsid w:val="00E52F11"/>
    <w:rsid w:val="00E54C15"/>
    <w:rsid w:val="00E76A5C"/>
    <w:rsid w:val="00E95FBC"/>
    <w:rsid w:val="00EC6F9F"/>
    <w:rsid w:val="00ED72C6"/>
    <w:rsid w:val="00EE2269"/>
    <w:rsid w:val="00EF2EE4"/>
    <w:rsid w:val="00EF3B57"/>
    <w:rsid w:val="00F02E6A"/>
    <w:rsid w:val="00F23EE6"/>
    <w:rsid w:val="00F25A11"/>
    <w:rsid w:val="00F27B0C"/>
    <w:rsid w:val="00F3423A"/>
    <w:rsid w:val="00F35E1B"/>
    <w:rsid w:val="00F507AF"/>
    <w:rsid w:val="00F63F4F"/>
    <w:rsid w:val="00F7039D"/>
    <w:rsid w:val="00F7638C"/>
    <w:rsid w:val="00F81438"/>
    <w:rsid w:val="00F869EB"/>
    <w:rsid w:val="00FA7077"/>
    <w:rsid w:val="00FB08B2"/>
    <w:rsid w:val="00FC116D"/>
    <w:rsid w:val="00FE0300"/>
    <w:rsid w:val="00FF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F59FD8"/>
  <w15:docId w15:val="{18986465-51F6-4FB3-AB7A-F42F5648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09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B10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5317"/>
    <w:pPr>
      <w:ind w:left="720"/>
      <w:contextualSpacing/>
    </w:pPr>
  </w:style>
  <w:style w:type="character" w:styleId="Hyperlink">
    <w:name w:val="Hyperlink"/>
    <w:basedOn w:val="DefaultParagraphFont"/>
    <w:uiPriority w:val="99"/>
    <w:unhideWhenUsed/>
    <w:rsid w:val="00B51807"/>
    <w:rPr>
      <w:color w:val="0563C1" w:themeColor="hyperlink"/>
      <w:u w:val="single"/>
    </w:rPr>
  </w:style>
  <w:style w:type="character" w:styleId="FollowedHyperlink">
    <w:name w:val="FollowedHyperlink"/>
    <w:basedOn w:val="DefaultParagraphFont"/>
    <w:uiPriority w:val="99"/>
    <w:semiHidden/>
    <w:unhideWhenUsed/>
    <w:rsid w:val="007747B6"/>
    <w:rPr>
      <w:color w:val="954F72" w:themeColor="followedHyperlink"/>
      <w:u w:val="single"/>
    </w:rPr>
  </w:style>
  <w:style w:type="paragraph" w:styleId="NormalWeb">
    <w:name w:val="Normal (Web)"/>
    <w:basedOn w:val="Normal"/>
    <w:uiPriority w:val="99"/>
    <w:unhideWhenUsed/>
    <w:rsid w:val="007F4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42CA"/>
  </w:style>
  <w:style w:type="character" w:styleId="Strong">
    <w:name w:val="Strong"/>
    <w:basedOn w:val="DefaultParagraphFont"/>
    <w:uiPriority w:val="22"/>
    <w:qFormat/>
    <w:rsid w:val="00FE0300"/>
    <w:rPr>
      <w:b/>
      <w:bCs/>
    </w:rPr>
  </w:style>
  <w:style w:type="character" w:customStyle="1" w:styleId="Heading2Char">
    <w:name w:val="Heading 2 Char"/>
    <w:basedOn w:val="DefaultParagraphFont"/>
    <w:link w:val="Heading2"/>
    <w:uiPriority w:val="9"/>
    <w:rsid w:val="009A09E3"/>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A833D1"/>
    <w:rPr>
      <w:sz w:val="16"/>
      <w:szCs w:val="16"/>
    </w:rPr>
  </w:style>
  <w:style w:type="paragraph" w:styleId="CommentText">
    <w:name w:val="annotation text"/>
    <w:basedOn w:val="Normal"/>
    <w:link w:val="CommentTextChar"/>
    <w:uiPriority w:val="99"/>
    <w:semiHidden/>
    <w:unhideWhenUsed/>
    <w:rsid w:val="00A833D1"/>
    <w:pPr>
      <w:spacing w:line="240" w:lineRule="auto"/>
    </w:pPr>
    <w:rPr>
      <w:sz w:val="20"/>
      <w:szCs w:val="20"/>
    </w:rPr>
  </w:style>
  <w:style w:type="character" w:customStyle="1" w:styleId="CommentTextChar">
    <w:name w:val="Comment Text Char"/>
    <w:basedOn w:val="DefaultParagraphFont"/>
    <w:link w:val="CommentText"/>
    <w:uiPriority w:val="99"/>
    <w:semiHidden/>
    <w:rsid w:val="00A833D1"/>
    <w:rPr>
      <w:sz w:val="20"/>
      <w:szCs w:val="20"/>
    </w:rPr>
  </w:style>
  <w:style w:type="paragraph" w:styleId="CommentSubject">
    <w:name w:val="annotation subject"/>
    <w:basedOn w:val="CommentText"/>
    <w:next w:val="CommentText"/>
    <w:link w:val="CommentSubjectChar"/>
    <w:uiPriority w:val="99"/>
    <w:semiHidden/>
    <w:unhideWhenUsed/>
    <w:rsid w:val="00A833D1"/>
    <w:rPr>
      <w:b/>
      <w:bCs/>
    </w:rPr>
  </w:style>
  <w:style w:type="character" w:customStyle="1" w:styleId="CommentSubjectChar">
    <w:name w:val="Comment Subject Char"/>
    <w:basedOn w:val="CommentTextChar"/>
    <w:link w:val="CommentSubject"/>
    <w:uiPriority w:val="99"/>
    <w:semiHidden/>
    <w:rsid w:val="00A833D1"/>
    <w:rPr>
      <w:b/>
      <w:bCs/>
      <w:sz w:val="20"/>
      <w:szCs w:val="20"/>
    </w:rPr>
  </w:style>
  <w:style w:type="paragraph" w:styleId="BalloonText">
    <w:name w:val="Balloon Text"/>
    <w:basedOn w:val="Normal"/>
    <w:link w:val="BalloonTextChar"/>
    <w:uiPriority w:val="99"/>
    <w:semiHidden/>
    <w:unhideWhenUsed/>
    <w:rsid w:val="00A8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D1"/>
    <w:rPr>
      <w:rFonts w:ascii="Tahoma" w:hAnsi="Tahoma" w:cs="Tahoma"/>
      <w:sz w:val="16"/>
      <w:szCs w:val="16"/>
    </w:rPr>
  </w:style>
  <w:style w:type="paragraph" w:styleId="Header">
    <w:name w:val="header"/>
    <w:basedOn w:val="Normal"/>
    <w:link w:val="HeaderChar"/>
    <w:uiPriority w:val="99"/>
    <w:unhideWhenUsed/>
    <w:rsid w:val="0001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C3D"/>
  </w:style>
  <w:style w:type="paragraph" w:styleId="Footer">
    <w:name w:val="footer"/>
    <w:basedOn w:val="Normal"/>
    <w:link w:val="FooterChar"/>
    <w:uiPriority w:val="99"/>
    <w:unhideWhenUsed/>
    <w:rsid w:val="0001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C3D"/>
  </w:style>
  <w:style w:type="character" w:customStyle="1" w:styleId="Heading3Char">
    <w:name w:val="Heading 3 Char"/>
    <w:basedOn w:val="DefaultParagraphFont"/>
    <w:link w:val="Heading3"/>
    <w:uiPriority w:val="9"/>
    <w:semiHidden/>
    <w:rsid w:val="002B10B3"/>
    <w:rPr>
      <w:rFonts w:asciiTheme="majorHAnsi" w:eastAsiaTheme="majorEastAsia" w:hAnsiTheme="majorHAnsi" w:cstheme="majorBidi"/>
      <w:b/>
      <w:bCs/>
      <w:color w:val="5B9BD5" w:themeColor="accent1"/>
    </w:rPr>
  </w:style>
  <w:style w:type="character" w:styleId="UnresolvedMention">
    <w:name w:val="Unresolved Mention"/>
    <w:basedOn w:val="DefaultParagraphFont"/>
    <w:uiPriority w:val="99"/>
    <w:semiHidden/>
    <w:unhideWhenUsed/>
    <w:rsid w:val="006D4080"/>
    <w:rPr>
      <w:color w:val="605E5C"/>
      <w:shd w:val="clear" w:color="auto" w:fill="E1DFDD"/>
    </w:rPr>
  </w:style>
  <w:style w:type="character" w:customStyle="1" w:styleId="Heading1Char">
    <w:name w:val="Heading 1 Char"/>
    <w:basedOn w:val="DefaultParagraphFont"/>
    <w:link w:val="Heading1"/>
    <w:uiPriority w:val="9"/>
    <w:rsid w:val="001F34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067">
      <w:bodyDiv w:val="1"/>
      <w:marLeft w:val="0"/>
      <w:marRight w:val="0"/>
      <w:marTop w:val="0"/>
      <w:marBottom w:val="0"/>
      <w:divBdr>
        <w:top w:val="none" w:sz="0" w:space="0" w:color="auto"/>
        <w:left w:val="none" w:sz="0" w:space="0" w:color="auto"/>
        <w:bottom w:val="none" w:sz="0" w:space="0" w:color="auto"/>
        <w:right w:val="none" w:sz="0" w:space="0" w:color="auto"/>
      </w:divBdr>
    </w:div>
    <w:div w:id="780420817">
      <w:bodyDiv w:val="1"/>
      <w:marLeft w:val="0"/>
      <w:marRight w:val="0"/>
      <w:marTop w:val="0"/>
      <w:marBottom w:val="0"/>
      <w:divBdr>
        <w:top w:val="none" w:sz="0" w:space="0" w:color="auto"/>
        <w:left w:val="none" w:sz="0" w:space="0" w:color="auto"/>
        <w:bottom w:val="none" w:sz="0" w:space="0" w:color="auto"/>
        <w:right w:val="none" w:sz="0" w:space="0" w:color="auto"/>
      </w:divBdr>
    </w:div>
    <w:div w:id="1283264609">
      <w:bodyDiv w:val="1"/>
      <w:marLeft w:val="0"/>
      <w:marRight w:val="0"/>
      <w:marTop w:val="0"/>
      <w:marBottom w:val="0"/>
      <w:divBdr>
        <w:top w:val="none" w:sz="0" w:space="0" w:color="auto"/>
        <w:left w:val="none" w:sz="0" w:space="0" w:color="auto"/>
        <w:bottom w:val="none" w:sz="0" w:space="0" w:color="auto"/>
        <w:right w:val="none" w:sz="0" w:space="0" w:color="auto"/>
      </w:divBdr>
    </w:div>
    <w:div w:id="1710566120">
      <w:bodyDiv w:val="1"/>
      <w:marLeft w:val="0"/>
      <w:marRight w:val="0"/>
      <w:marTop w:val="0"/>
      <w:marBottom w:val="0"/>
      <w:divBdr>
        <w:top w:val="none" w:sz="0" w:space="0" w:color="auto"/>
        <w:left w:val="none" w:sz="0" w:space="0" w:color="auto"/>
        <w:bottom w:val="none" w:sz="0" w:space="0" w:color="auto"/>
        <w:right w:val="none" w:sz="0" w:space="0" w:color="auto"/>
      </w:divBdr>
    </w:div>
    <w:div w:id="1738045349">
      <w:bodyDiv w:val="1"/>
      <w:marLeft w:val="0"/>
      <w:marRight w:val="0"/>
      <w:marTop w:val="0"/>
      <w:marBottom w:val="0"/>
      <w:divBdr>
        <w:top w:val="none" w:sz="0" w:space="0" w:color="auto"/>
        <w:left w:val="none" w:sz="0" w:space="0" w:color="auto"/>
        <w:bottom w:val="none" w:sz="0" w:space="0" w:color="auto"/>
        <w:right w:val="none" w:sz="0" w:space="0" w:color="auto"/>
      </w:divBdr>
      <w:divsChild>
        <w:div w:id="1524780290">
          <w:marLeft w:val="0"/>
          <w:marRight w:val="0"/>
          <w:marTop w:val="0"/>
          <w:marBottom w:val="0"/>
          <w:divBdr>
            <w:top w:val="none" w:sz="0" w:space="0" w:color="auto"/>
            <w:left w:val="none" w:sz="0" w:space="0" w:color="auto"/>
            <w:bottom w:val="none" w:sz="0" w:space="0" w:color="auto"/>
            <w:right w:val="none" w:sz="0" w:space="0" w:color="auto"/>
          </w:divBdr>
          <w:divsChild>
            <w:div w:id="1027023780">
              <w:marLeft w:val="0"/>
              <w:marRight w:val="0"/>
              <w:marTop w:val="0"/>
              <w:marBottom w:val="0"/>
              <w:divBdr>
                <w:top w:val="none" w:sz="0" w:space="0" w:color="auto"/>
                <w:left w:val="none" w:sz="0" w:space="0" w:color="auto"/>
                <w:bottom w:val="none" w:sz="0" w:space="0" w:color="auto"/>
                <w:right w:val="none" w:sz="0" w:space="0" w:color="auto"/>
              </w:divBdr>
              <w:divsChild>
                <w:div w:id="1256743280">
                  <w:marLeft w:val="0"/>
                  <w:marRight w:val="0"/>
                  <w:marTop w:val="0"/>
                  <w:marBottom w:val="0"/>
                  <w:divBdr>
                    <w:top w:val="none" w:sz="0" w:space="0" w:color="auto"/>
                    <w:left w:val="none" w:sz="0" w:space="0" w:color="auto"/>
                    <w:bottom w:val="none" w:sz="0" w:space="0" w:color="auto"/>
                    <w:right w:val="none" w:sz="0" w:space="0" w:color="auto"/>
                  </w:divBdr>
                  <w:divsChild>
                    <w:div w:id="674965292">
                      <w:marLeft w:val="0"/>
                      <w:marRight w:val="0"/>
                      <w:marTop w:val="0"/>
                      <w:marBottom w:val="0"/>
                      <w:divBdr>
                        <w:top w:val="none" w:sz="0" w:space="0" w:color="auto"/>
                        <w:left w:val="none" w:sz="0" w:space="0" w:color="auto"/>
                        <w:bottom w:val="none" w:sz="0" w:space="0" w:color="auto"/>
                        <w:right w:val="none" w:sz="0" w:space="0" w:color="auto"/>
                      </w:divBdr>
                      <w:divsChild>
                        <w:div w:id="1194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16985">
      <w:bodyDiv w:val="1"/>
      <w:marLeft w:val="0"/>
      <w:marRight w:val="0"/>
      <w:marTop w:val="0"/>
      <w:marBottom w:val="0"/>
      <w:divBdr>
        <w:top w:val="none" w:sz="0" w:space="0" w:color="auto"/>
        <w:left w:val="none" w:sz="0" w:space="0" w:color="auto"/>
        <w:bottom w:val="none" w:sz="0" w:space="0" w:color="auto"/>
        <w:right w:val="none" w:sz="0" w:space="0" w:color="auto"/>
      </w:divBdr>
    </w:div>
    <w:div w:id="20290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sp.bournemouth.ac.uk/pandptest/8B-research-ethics-code-of-practice.pdf" TargetMode="External"/><Relationship Id="rId18" Type="http://schemas.openxmlformats.org/officeDocument/2006/relationships/hyperlink" Target="https://www.bournemouth.ac.uk/about/governance/access-information/data-protection-privacy" TargetMode="External"/><Relationship Id="rId26" Type="http://schemas.openxmlformats.org/officeDocument/2006/relationships/hyperlink" Target="https://www.gov.uk/equality-act-2010-guidance" TargetMode="External"/><Relationship Id="rId39" Type="http://schemas.openxmlformats.org/officeDocument/2006/relationships/hyperlink" Target="https://intranetsp.bournemouth.ac.uk/policy/Quick%20Guide%20to%20Intellectual%20Property%20Rights.docx" TargetMode="External"/><Relationship Id="rId3" Type="http://schemas.openxmlformats.org/officeDocument/2006/relationships/customXml" Target="../customXml/item3.xml"/><Relationship Id="rId21" Type="http://schemas.openxmlformats.org/officeDocument/2006/relationships/hyperlink" Target="https://ico.org.uk/for-organisations/guide-to-data-protection/" TargetMode="External"/><Relationship Id="rId34" Type="http://schemas.openxmlformats.org/officeDocument/2006/relationships/hyperlink" Target="http://www.hse.gov.uk/pubns/hsc13.pdf" TargetMode="External"/><Relationship Id="rId42" Type="http://schemas.openxmlformats.org/officeDocument/2006/relationships/hyperlink" Target="https://www.gov.uk/government/publications/mental-capacity-act-code-of-practice" TargetMode="External"/><Relationship Id="rId47" Type="http://schemas.openxmlformats.org/officeDocument/2006/relationships/hyperlink" Target="https://www.gov.uk/government/publications/controlled-drugs-list--2/list-of-most-commonly-encountered-drugs-currently-controlled-under-the-misuse-of-drugs-legislation"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tranetsp.bournemouth.ac.uk/policy/BU%20Code%20of%20Good%20Research%20Practice.pdf" TargetMode="External"/><Relationship Id="rId17" Type="http://schemas.openxmlformats.org/officeDocument/2006/relationships/hyperlink" Target="https://intranetsp.bournemouth.ac.uk/documentsrep/Research%20Data%20Policy.pdf" TargetMode="External"/><Relationship Id="rId25" Type="http://schemas.openxmlformats.org/officeDocument/2006/relationships/hyperlink" Target="http://intranetsp.bournemouth.ac.uk/policy/dignity-diversity-and-equality-policy.doc" TargetMode="External"/><Relationship Id="rId33" Type="http://schemas.openxmlformats.org/officeDocument/2006/relationships/hyperlink" Target="http://www.hse.gov.uk/legislation/hswa.htm" TargetMode="External"/><Relationship Id="rId38" Type="http://schemas.openxmlformats.org/officeDocument/2006/relationships/hyperlink" Target="https://staffintranet.bournemouth.ac.uk/aboutbu/policiesprocedures/" TargetMode="External"/><Relationship Id="rId46" Type="http://schemas.openxmlformats.org/officeDocument/2006/relationships/hyperlink" Target="https://www.gov.uk/government/publications/operation-of-aspa" TargetMode="External"/><Relationship Id="rId2" Type="http://schemas.openxmlformats.org/officeDocument/2006/relationships/customXml" Target="../customXml/item2.xml"/><Relationship Id="rId16" Type="http://schemas.openxmlformats.org/officeDocument/2006/relationships/hyperlink" Target="https://intranetsp.bournemouth.ac.uk/documentsrep/Research%20Data%20Policy.pdf" TargetMode="External"/><Relationship Id="rId20" Type="http://schemas.openxmlformats.org/officeDocument/2006/relationships/hyperlink" Target="https://staffintranet.bournemouth.ac.uk/aboutbu/policiesprocedures/" TargetMode="External"/><Relationship Id="rId29" Type="http://schemas.openxmlformats.org/officeDocument/2006/relationships/hyperlink" Target="http://staffintranet.bournemouth.ac.uk/workingatbu/healthsafetywellbeing/riskassessment/" TargetMode="External"/><Relationship Id="rId41" Type="http://schemas.openxmlformats.org/officeDocument/2006/relationships/hyperlink" Target="http://intranetsp.bournemouth.ac.uk/policy/Legal%20Services%20Quick%20Guide%20to%20Contracting%20for%20Research%20and%20Enterpris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iesuk.ac.uk/topics/research-and-innovation/concordat-support-research-integrity" TargetMode="External"/><Relationship Id="rId24" Type="http://schemas.openxmlformats.org/officeDocument/2006/relationships/hyperlink" Target="http://blogs.bournemouth.ac.uk/research/2015/07/28/hefce-open-access-policy-adjustments-and-qualifications/" TargetMode="External"/><Relationship Id="rId32" Type="http://schemas.openxmlformats.org/officeDocument/2006/relationships/hyperlink" Target="https://intranetsp.bournemouth.ac.uk/policy/BU%20Code%20of%20Good%20Research%20Practice.pdf" TargetMode="External"/><Relationship Id="rId37" Type="http://schemas.openxmlformats.org/officeDocument/2006/relationships/hyperlink" Target="https://www.gov.uk/intellectual-property-an-overview" TargetMode="External"/><Relationship Id="rId40" Type="http://schemas.openxmlformats.org/officeDocument/2006/relationships/hyperlink" Target="http://intranetsp.bournemouth.ac.uk/policy/Intellectual%20Property%20Guidance.docx" TargetMode="External"/><Relationship Id="rId45" Type="http://schemas.openxmlformats.org/officeDocument/2006/relationships/hyperlink" Target="https://www.gov.uk/research-and-testing-using-animals" TargetMode="External"/><Relationship Id="rId5" Type="http://schemas.openxmlformats.org/officeDocument/2006/relationships/numbering" Target="numbering.xml"/><Relationship Id="rId15" Type="http://schemas.openxmlformats.org/officeDocument/2006/relationships/hyperlink" Target="https://staffintranet.bournemouth.ac.uk/aboutbu/policiesprocedures/" TargetMode="External"/><Relationship Id="rId23" Type="http://schemas.openxmlformats.org/officeDocument/2006/relationships/hyperlink" Target="https://intranetsp.bournemouth.ac.uk/pandptest/8B-research-ethics-code-of-practice.pdf" TargetMode="External"/><Relationship Id="rId28" Type="http://schemas.openxmlformats.org/officeDocument/2006/relationships/hyperlink" Target="https://intranetsp.bournemouth.ac.uk/policy/BU%20Code%20of%20Good%20Research%20Practice.pdf" TargetMode="External"/><Relationship Id="rId36" Type="http://schemas.openxmlformats.org/officeDocument/2006/relationships/hyperlink" Target="http://www.mrc.ac.uk/research/facilities/regulatory-support-centre/human-tissue/" TargetMode="External"/><Relationship Id="rId49" Type="http://schemas.openxmlformats.org/officeDocument/2006/relationships/hyperlink" Target="http://www.legislation.gov.uk/uksi/2001/3998/contents/made" TargetMode="External"/><Relationship Id="rId10" Type="http://schemas.openxmlformats.org/officeDocument/2006/relationships/endnotes" Target="endnotes.xml"/><Relationship Id="rId19" Type="http://schemas.openxmlformats.org/officeDocument/2006/relationships/hyperlink" Target="https://www.bournemouth.ac.uk/about/governance/access-information/data-protection-privacy/research-participant-privacy-notice" TargetMode="External"/><Relationship Id="rId31" Type="http://schemas.openxmlformats.org/officeDocument/2006/relationships/hyperlink" Target="https://staffintranet.bournemouth.ac.uk/aboutbu/policiesprocedures/" TargetMode="External"/><Relationship Id="rId44" Type="http://schemas.openxmlformats.org/officeDocument/2006/relationships/hyperlink" Target="https://www.gov.uk/disclosure-barring-service-check/overview"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sp.bournemouth.ac.uk/policy/Data%20Protection%20Policy%20for%20Staff%20and%20BU%20Representatives.docx" TargetMode="External"/><Relationship Id="rId22" Type="http://schemas.openxmlformats.org/officeDocument/2006/relationships/hyperlink" Target="https://intranetsp.bournemouth.ac.uk/policy/BU%20Code%20of%20Good%20Research%20Practice.pdf" TargetMode="External"/><Relationship Id="rId27" Type="http://schemas.openxmlformats.org/officeDocument/2006/relationships/hyperlink" Target="https://staffintranet.bournemouth.ac.uk/aboutbu/policiesprocedures/" TargetMode="External"/><Relationship Id="rId30" Type="http://schemas.openxmlformats.org/officeDocument/2006/relationships/hyperlink" Target="http://intranetsp.bournemouth.ac.uk/policy/Health%20and%20Safety%20in%20Research%20Work.doc" TargetMode="External"/><Relationship Id="rId35" Type="http://schemas.openxmlformats.org/officeDocument/2006/relationships/hyperlink" Target="https://www.hta.gov.uk/guidance-professionals" TargetMode="External"/><Relationship Id="rId43" Type="http://schemas.openxmlformats.org/officeDocument/2006/relationships/hyperlink" Target="http://blogs.bournemouth.ac.uk/research/files/2012/09/8B-Research-Ethics-Code-of-Practice_February-20142.pdf" TargetMode="External"/><Relationship Id="rId48" Type="http://schemas.openxmlformats.org/officeDocument/2006/relationships/hyperlink" Target="https://www.gov.uk/controlled-drugs-licences-fees-and-returns"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D259749B-A2FA-4762-BAAE-748A846B9902">Legal Services Quick Guide to Legal and Regulatory Issues for Researchers</Description0>
    <Target_x0020_Audiences xmlns="D259749B-A2FA-4762-BAAE-748A846B9902">;;;;Staff Readers</Target_x0020_Audiences>
    <School_x002f_PS xmlns="D259749B-A2FA-4762-BAAE-748A846B9902">
      <Value>15</Value>
    </School_x002f_PS>
    <Expiry_x0020_Date xmlns="D259749B-A2FA-4762-BAAE-748A846B9902">2024-08-11T23:00:00+00:00</Expiry_x0020_Date>
    <_dlc_DocId xmlns="7845b4e5-581f-4554-8843-a411c9829904">ZXDD766ENQDJ-737846793-1797</_dlc_DocId>
    <Published_x0020_Date xmlns="D259749B-A2FA-4762-BAAE-748A846B9902">2022-08-11T23:00:00+00:00</Published_x0020_Date>
    <_dlc_DocIdUrl xmlns="7845b4e5-581f-4554-8843-a411c9829904">
      <Url>https://intranetsp.bournemouth.ac.uk/_layouts/15/DocIdRedir.aspx?ID=ZXDD766ENQDJ-737846793-1797</Url>
      <Description>ZXDD766ENQDJ-737846793-1797</Description>
    </_dlc_DocIdUrl>
    <Author0 xmlns="D259749B-A2FA-4762-BAAE-748A846B9902">
      <UserInfo>
        <DisplayName>i:0#.w|staff\legalservices</DisplayName>
        <AccountId>1288</AccountId>
        <AccountType/>
      </UserInfo>
    </Author0>
    <_Status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EB229-0A33-4BE7-B374-8B54083D37D3}">
  <ds:schemaRefs>
    <ds:schemaRef ds:uri="http://schemas.microsoft.com/office/2006/documentManagement/types"/>
    <ds:schemaRef ds:uri="http://purl.org/dc/elements/1.1/"/>
    <ds:schemaRef ds:uri="D259749B-A2FA-4762-BAAE-748A846B9902"/>
    <ds:schemaRef ds:uri="7845b4e5-581f-4554-8843-a411c9829904"/>
    <ds:schemaRef ds:uri="http://schemas.microsoft.com/sharepoint/v3/field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1B4E58B-EE67-4441-8248-5EF219F9B712}"/>
</file>

<file path=customXml/itemProps3.xml><?xml version="1.0" encoding="utf-8"?>
<ds:datastoreItem xmlns:ds="http://schemas.openxmlformats.org/officeDocument/2006/customXml" ds:itemID="{D956C7CD-AD74-4BFF-8AA8-327A64F8BF3A}">
  <ds:schemaRefs>
    <ds:schemaRef ds:uri="http://schemas.microsoft.com/sharepoint/events"/>
  </ds:schemaRefs>
</ds:datastoreItem>
</file>

<file path=customXml/itemProps4.xml><?xml version="1.0" encoding="utf-8"?>
<ds:datastoreItem xmlns:ds="http://schemas.openxmlformats.org/officeDocument/2006/customXml" ds:itemID="{344D5828-5F92-474B-B3B0-762C2D330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3281</Words>
  <Characters>17132</Characters>
  <Application>Microsoft Office Word</Application>
  <DocSecurity>0</DocSecurity>
  <Lines>503</Lines>
  <Paragraphs>182</Paragraphs>
  <ScaleCrop>false</ScaleCrop>
  <HeadingPairs>
    <vt:vector size="2" baseType="variant">
      <vt:variant>
        <vt:lpstr>Title</vt:lpstr>
      </vt:variant>
      <vt:variant>
        <vt:i4>1</vt:i4>
      </vt:variant>
    </vt:vector>
  </HeadingPairs>
  <TitlesOfParts>
    <vt:vector size="1" baseType="lpstr">
      <vt:lpstr>Legal Services Quick Guide to Legal and Regulatory Issues for Researchers</vt:lpstr>
    </vt:vector>
  </TitlesOfParts>
  <Company>Bournemouth University</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Quick Guide to Legal and Regulatory Issues for Researchers</dc:title>
  <dc:creator>Angela</dc:creator>
  <cp:keywords>Legal Services Quick Guide to Legal and Regulatory Issues for Researchers</cp:keywords>
  <cp:lastModifiedBy>Michelle Goodbody</cp:lastModifiedBy>
  <cp:revision>30</cp:revision>
  <dcterms:created xsi:type="dcterms:W3CDTF">2017-09-21T14:39:00Z</dcterms:created>
  <dcterms:modified xsi:type="dcterms:W3CDTF">2022-08-12T10:15:00Z</dcterms:modified>
  <cp:contentStatus>Legal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Legal Services Quick Guide Legal and Regulatory Issues for Researchers.docx</vt:lpwstr>
  </property>
  <property fmtid="{D5CDD505-2E9C-101B-9397-08002B2CF9AE}" pid="4" name="_dlc_DocIdItemGuid">
    <vt:lpwstr>501a80e3-4cb4-4220-ac87-0b12bb02f892</vt:lpwstr>
  </property>
</Properties>
</file>